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punktu paredzot, ka  reorganizācijas izstrādē notiek sadarbība ar Valsts kasi  par Valsts kasei pārdalāmo vai no Valsts kases pārdalāmo finansējuma apmēru, lai nodrošinātu finansējumu datu migrācijai.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vairāk jāizskaidro, kā pāreja samazinās iestāžu administratīvo slogu un veicamo darbību apjomu. Esošie darbības procesi liecina tieši par pretējo – iestādēm palielinās administratīvais slogs, veicamo darbību apjoms, jāveic darbs, kas līdz šim bija grāmatvežu kompetencē. Darbiniekiem, kuri ir palikuši iestādēs, ir palielinājies veicamo darbu apjoms, ko nav iespējams nodrošināt ar to amata slodžu apjomu, kādu bija aprēķinājuši Valsts kases piesaistītie konsultanti.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