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centralizētas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projekta pases 5.1.1. sadaļā norādīto rādītāja sasniegšanas termiņa definējumu, ņemot vērā, ka MK noteikumu Nr.338 14.punktā ir noteikts, ka pasākuma rezultāta rādītājs ir sasniegts, ja tā vērtības radušās ne vēlāk kā otrajā kalendāra gadā pēc projekta noslēguma maksājuma veikšanas un ir iesniegti pamatojošie dokumenti par tā sasniegšanu, </w:t>
            </w:r>
            <w:r w:rsidR="00000000" w:rsidRPr="00000000" w:rsidDel="00000000">
              <w:rPr>
                <w:b w:val="1"/>
                <w:rtl w:val="0"/>
              </w:rPr>
              <w:t xml:space="preserve">taču nepārsniedzot šo noteikumu 12. punktā minēto termiņu, t.i. 2029. gada 31. decembri.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14.04.2026.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14.04.2026.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Atzinumi_26-TA-152.docx</dc:title>
</cp:coreProperties>
</file>

<file path=docProps/custom.xml><?xml version="1.0" encoding="utf-8"?>
<Properties xmlns="http://schemas.openxmlformats.org/officeDocument/2006/custom-properties" xmlns:vt="http://schemas.openxmlformats.org/officeDocument/2006/docPropsVTypes"/>
</file>