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(Valsts ieņēmumu dienestam) pirms projekta otrā posma īstenošanas uzsākšanas izstrādāt plānotā informācijas un komunikācijas tehnoloģiju risinājuma arhitektūras aprakstu, tā ieviešanas plānā ietverot robežas šķērsošanas projekta pirmajā kārtā realizēto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nevar piekrist protokollēmuma 4. punkta formulējumam, jo tā interpretācija nonāk pretrunā ar ministru tematiskās digitālās modernizācijas 16. jūlija sēdes lēmumu, ar kuru tika noteikts SAM 1.3.1.1. finansējuma sadalījums pa prioritārās attīstības jomām, t.sk. iedalot visu robežķērsošanas risinājuma projektu (tā abas kārtas) un attiecīgo finansējumu transporta jomā. Atbilstoši šīs jomas arhitektūras aprakstam jāietver arī atvēlētā finansējuma sadalījumu pa konkrētiem šīs jomas projektiem, kas ir priekšnoteikums robežšķērsošanas projekta otrās kārtas īstenošanas uzsākšanai. Vēršam uzmanību, ka I kārtas proejkts ir iekļauts ārkārtas īstenojamo projektu sarakstā, kas pieļauj atlikt risinājuma saskaņošanu ar atbilstošās jomas arhitektūru.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nepieciešams uzdevums tieši transporta jomas arhitektūras apraksta izstrādei, kurā izveidē iesaistāmas saistītās puses.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(Latvijas valsts radio un televīzijas centrs) pirms projekta otrās kārtas īstenošanas uzsākšanas izstrādāt transporta jomas arhitektūras aprakstu, tās ieviešanas plāna ietvaros paredzot robežas šķērsošanas risinājumu projekta abu kārtu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20.09.2024.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20.09.2024.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Atzinumi_24-TA-2163.docx</dc:title>
</cp:coreProperties>
</file>

<file path=docProps/custom.xml><?xml version="1.0" encoding="utf-8"?>
<Properties xmlns="http://schemas.openxmlformats.org/officeDocument/2006/custom-properties" xmlns:vt="http://schemas.openxmlformats.org/officeDocument/2006/docPropsVTypes"/>
</file>