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projekts tiešām nekādā veidā neietekmē nevienu sabiedrības grupu, ņemot vēra, ka no noteikumu projekta izriet grozījumi, piemēram, attiecībā uz maksājumu aizkavēšanu atbalsta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5.sadaļu, ņemot vērā, ka atbilstoši Ministru kabineta 2014. gada 30. septembra noteikumu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 sākotnējai anotācijai to 35. punkts, kura apakšvienība pakļauta grozījumiem noteikumu projektā, ievieš Komisijas 2014. gada 17. jūlija Īstenošanas regulas (ES) Nr. 808/2014, ar kuru paredz noteikumus, kā piemērot Eiropas Parlamenta un Padomes Regulu (ES) Nr. 1305/2013 par atbalstu lauku attīstībai no Eiropas Lauksaimniecības fonda lauku attīstībai (ELFLA) pielikuma 2.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noteikumu projektu un izvērtēt, vai uz to attiecināmās, anotācijā nenorādītās (iepriekš ieviestās), Eiropas Savienības tiesību normas joprojām ir attiecināmas. Šādā gadījumā, iesakām papildināt anotācijas 5. sadaļu ar norādēm uz Eiropas Savienības tiesību normām vai norādīt, ka līdz šim ieviestās, no Eiropas Savienības tiesību normām  izrietošās prasības netiek mainītas un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07.02.2025.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07.02.2025.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Atzinumi_24-TA-2912.docx</dc:title>
</cp:coreProperties>
</file>

<file path=docProps/custom.xml><?xml version="1.0" encoding="utf-8"?>
<Properties xmlns="http://schemas.openxmlformats.org/officeDocument/2006/custom-properties" xmlns:vt="http://schemas.openxmlformats.org/officeDocument/2006/docPropsVTypes"/>
</file>