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Ostu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kapitāla daļu un kapitālsabiedrību pārvaldības likumā nav regulējuma valsts kapitāla daļu pārvaldībai, kad vienai kapitālsabiedrībai ir vairāki valsts kapitāla daļu/akciju turētāji, savukārt akcionāru līgumā ir jāparedz kārtību, kas ir atbilstoša spēkā esošajām normatīvajām prasībām, tostarp Ostu likuma, Komerclikuma un Publiskas personas kapitāla daļu un kapitālsabiedrību pārvaldības likuma prasībām, kā arī Satiksmes ministrijas izstrādātais un TAP virzītais instrukcijas projekts "Instrukcija par valsts kapitāla daļu turētāju sadarbību Rīgas ostas un Ventspils ostas pārvalžu valsts kapitāla daļu pārvaldīšanā" (22-TA-2306) ir zemāka spēka attiecībā pret likumu, lūdzam augstāka spēka normatīvajā aktā - speciālajā regulējumā, proti, Ostu likumā noteikt kapitālsabiedrību – AS “Rīgas osta” un AS “Ventspils osta” pārvaldības kārtību un attiecīgi papildināt likumprojektu "Grozījumi Ostu likumā", nosakot speciālu regulējumu attiecībā uz AS “Rīgas osta” un AS “Ventspils osta” organizatoriskā struktūru un minēto kapitālsabiedrību pārvaldību (tostarp valsts akciju turētāju pārstāvju dalību akcionāru sapulcēs, sagatavošanas akcionāru sapulcei, valsts akciju turētāju pārstāvju sēdes (saskaņošanas sanāksmes) organizēšanu, vienotā balsošanas uzdevuma sagatavošanu utml.) atbilstoši labas korporatīvās pārvaldības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09.06.2023. 10.12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09.06.2023. 10.12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Atzinumi_23-TA-1049.docx</dc:title>
</cp:coreProperties>
</file>

<file path=docProps/custom.xml><?xml version="1.0" encoding="utf-8"?>
<Properties xmlns="http://schemas.openxmlformats.org/officeDocument/2006/custom-properties" xmlns:vt="http://schemas.openxmlformats.org/officeDocument/2006/docPropsVTypes"/>
</file>