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22-TA-3596: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"Pasākumu programma laba jūras vides stāvokļa panākšanai 2022.-2027. gadā"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 pielikums. Kopsavilkums par 2022.-2027. gadā nepieciešamajiem pasākumiem jūras vides mērķu sasniegšanai un LJVS panākšanai un saglabāšanai.)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 pielikums. Tautsaimniecības nozaru esošo un plānoto pasākumu ar ietekmi uz jūras vidi vispārējs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 pielikums. Novērtējums riskam nesasniegt jūras vides mērķus un labu jūras vides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(4. pielikums. Izņēmumu piemērošana: izņēmumu piemērošanas izvērtējums nesamērīgu izmaksu dēļ un izņēmuma piemērošana papildus pasākumu ieviešanai un vides mērķu sasniegšanai attiecībā uz D5 „Eitrofikācija”)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(5.pielikums. Nepieciešamo papildu pasākumu sociālekonomiskais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(6.pielikums. Nepieciešamo papildu pasākumu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(7.pielikums. Indikatīvais ietekmes novērtējums uz valsts un pašvaldību budžetiem)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2.pielikumā norādīts, ka tiek sniegts “politikas ietvaru kopsavilkums”, "kas izriet no šiem starptautiskajiem, ES un Latvijas politikas plānošanas dokumentiem un tiesību aktiem" , kur sarakstā līdztekus ES apstiprinātām politikas iniciatīvām, MK apstiprinātiem politikas plānošanas dokumentiem un tiesību aktiem  tiek minēti arī, piemēram, Prioritāro rīcību programma Natura 2000 tīklam Latvijā (2021–2027” , Pogainā roņa (Phoca hispida), pelēkā roņa (Halichoerus grypus) un plankumainā roņa (Pusa vitulina) apsaimniekošanas (aizsardzības) plāns” 2021.-2031.gadam, kā arī dažādi pilotprojekti, kuri neatbilst iepriekš minētajiem politikas dokumentiem. Lūgums attiecīgi precizēt 2.pielikumu.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Kubliņa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1.pielikuma (2a) JVM1 PP12 pasākumā, kurā kā darbības rezultāts paredzēts apaļā jūras grunduļa populācijas ierobežošana un rezultāta rādītājs ir “samazinājusies apaļā jūras grunduļa populācija un tā ietekme uz jūras ekosistēmu” kā finansējuma avots norādīts “EJZAF (īstenošanai)”. Ņemot vērā, ka PZA nav paredzēts atbalsts apaļā jūrasgrunduļa populācijas samazināšanai, lūgums svītrot atsauci uz EJZAF vai skaidrot minētā finansējuma avota iekļaušanu.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Kubliņa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1.pielikuma (1b) JVM1 EP5 pasākums: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 indikatīvā finansējuma visam periodam norādīts: “Atbilstoši EJZAF Rīcības programmai 2022-2027”. Vēršam uzmanību, ka attiecīgajā kolonnā ir norādāms indikatīvais finansējuma apjoms, savukārt finansējuma avots norādāms kolonnā ar nosaukumu “Indikatīvais finansējuma avots”. Vienlaikus informējam, ka plānotajiem pasākumiem, kā arī DAP un BIOR, kas norādīti kā atbildīgās iestādes minēto pasākumu īstenošanai, nav nodalīts finansējums PZA ietvaros. Lūdzam svītrot atsauci uz PZA šajā kolonnā.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2.Attiecībā uz darbības rezultātu un rezultatīvo rādītāju, lūdzam ņemt vērā, ka Pogainā roņa (Phoca hispida), pelēkā roņa (Halichoerus grypus) un plankumainā roņa (Pusa vitulina) apsaimniekošanas (aizsardzības) plānā ir norādīts, ka tā mērķis ir “sabalansēt gan zvejniecības, gan dabas aizsardzības intereses Latvijas jūras ūdeņos”. Lūdzam attiecīgi precizēt darbības rezultātu un rezultāta rādītāju, paredzot, ka aizsardzības un saglabāšanas pasākumi būs līdzsvaroti ar saimniecisko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Kubliņa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Plānā un tā 1. un 2.pielikumā, jo īpaši 1.pielikuma (1b) JVM1 EP1 pasākumā ņemt vērā Valdības rīcības plāna 119.uzdevumā noteikto un attiecīgus pasākumus, darbību rezultātus un rezultatīvos rādītājus precizēt, skaidri nosakot, ka jūras aizsargājamo dabas teritoriju un to tīkla veidošana tiks salāgota ar saimnieciskajām interesēm. Iesaistīto iestāžu sarakstu lūgums papildināt ar saimnieciskās darbības politiku jūrā veidojošām ministrijām.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Kubliņa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dokumenta paketē precizēt Programmas zivsaimniecības attīstībai 2021.-2027.gadam (turpmāk - PZA) nosaukumu atbilstoši aktuālajai tā redakcijai un izmantot tās saīsinājumam vienotu pieeju plānā un tā pielikumos.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Kubliņa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17.05.2023. 16.18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17.05.2023. 16.18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Atzinumi_22-TA-3596.docx</dc:title>
</cp:coreProperties>
</file>

<file path=docProps/custom.xml><?xml version="1.0" encoding="utf-8"?>
<Properties xmlns="http://schemas.openxmlformats.org/officeDocument/2006/custom-properties" xmlns:vt="http://schemas.openxmlformats.org/officeDocument/2006/docPropsVTypes"/>
</file>