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83"/>
              <w:gridCol w:w="647"/>
              <w:gridCol w:w="660"/>
              <w:gridCol w:w="634"/>
              <w:tblGridChange w:id="0">
                <w:tblGrid>
                  <w:gridCol w:w="683"/>
                  <w:gridCol w:w="647"/>
                  <w:gridCol w:w="660"/>
                  <w:gridCol w:w="634"/>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Daudzeses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Zalves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Viesītes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r w:rsidR="00000000" w:rsidRPr="00000000" w:rsidDel="00000000">
                    <w:rPr>
                      <w:sz w:val="24"/>
                      <w:rtl w:val="0"/>
                    </w:rPr>
                    <w:t xml:space="preserve">pielikums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Pamatojieties uz 21.06.2023. veiktajiem grozījumiem likumā “Par īpaši aizsargājamām dabas teritorijām”, kas nosaka, ka “Militārajos poligonos var izveidot jaunas aizsargājamās teritorijas, ja tajās paredzētais aizsardzības režīms nav pretrunā ar militārā poligona izveidošanas mērķi un par to ir vienošanās ar Aizsardzības ministriju”, VAMOIC izvērtēja iesniegtos ierosinājumus jaunajiem dabas liegumiem un secināja, ka atbilstoši Ministru kabineta 16.03.2010. noteikumu Nr. 264 “Īpaši aizsargājamo dabas teritoriju vispārējie aizsardzības un izmantošanas noteikumi”, kas noteiks arī jaunizveidoto dabas liegumu izmantošanas kārtību, 16.10.punkts nosaka, ka dabas liegumos ir aizliegts rīkot Nacionālo bruņoto spēku un zemessargu mācības.  Tas nozīmē, ka īpaši aizsargājamās teritorijas kategorija “dabas liegums” ir pretrunā ar militārā poligona izveidošanas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VAMOIC norāda, ka būtiskas pretrunas ar militārā poligona "Sēlija" izveidošanas mērķi ir jaunajā dabas liegumā “Zalvītes strauta purvs” – plānotais liegums atrodas tieši militārā poligona “Sēlija” teritorijā, tādēļ nesaskaņo dabas lieguma “Zalvītes strauta purvs”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Galaktionova (VAMOIC)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17.07.2023.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