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Niršanai jūrā noteikto aizliegumu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Panta nosaukumā ieteicams iespējami precīzi norādīt tajā iekļautā pārkāpuma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projektā paredzētos grozījumus, likuma 21. pantā būs noteikta administratīvā atbildība tikai par "niršanu aizliegtajā teritorijā". Līdz ar to panta nosaukumā varētu precīzi un tiešā tekstā tekstā šo pārkāpumu norādīt, proti: "21. pants. Niršana aizliegtajā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06.02.2026.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06.02.2026.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Atzinumi_25-TA-520.docx</dc:title>
</cp:coreProperties>
</file>

<file path=docProps/custom.xml><?xml version="1.0" encoding="utf-8"?>
<Properties xmlns="http://schemas.openxmlformats.org/officeDocument/2006/custom-properties" xmlns:vt="http://schemas.openxmlformats.org/officeDocument/2006/docPropsVTypes"/>
</file>