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F0896" w14:textId="77777777" w:rsidR="001075AA" w:rsidRDefault="001075AA" w:rsidP="001075AA">
      <w:pPr>
        <w:rPr>
          <w:rFonts w:asciiTheme="minorHAnsi" w:hAnsiTheme="minorHAnsi" w:cstheme="minorBidi"/>
        </w:rPr>
      </w:pPr>
    </w:p>
    <w:p w14:paraId="04290D21" w14:textId="77777777" w:rsidR="001075AA" w:rsidRPr="001075AA" w:rsidRDefault="001075AA" w:rsidP="001075AA">
      <w:pPr>
        <w:rPr>
          <w:rFonts w:eastAsia="Times New Roman"/>
          <w:lang w:eastAsia="lv-LV"/>
        </w:rPr>
      </w:pPr>
      <w:r w:rsidRPr="001075AA">
        <w:rPr>
          <w:rFonts w:eastAsia="Times New Roman"/>
          <w:b/>
          <w:bCs/>
          <w:lang w:eastAsia="lv-LV"/>
        </w:rPr>
        <w:t>From:</w:t>
      </w:r>
      <w:r w:rsidRPr="001075AA">
        <w:rPr>
          <w:rFonts w:eastAsia="Times New Roman"/>
          <w:lang w:eastAsia="lv-LV"/>
        </w:rPr>
        <w:t xml:space="preserve"> Sandis Vilcāns &lt;Sandis.Vilcans@tm.gov.lv&gt; </w:t>
      </w:r>
      <w:r w:rsidRPr="001075AA">
        <w:rPr>
          <w:rFonts w:eastAsia="Times New Roman"/>
          <w:lang w:eastAsia="lv-LV"/>
        </w:rPr>
        <w:br/>
      </w:r>
      <w:r w:rsidRPr="001075AA">
        <w:rPr>
          <w:rFonts w:eastAsia="Times New Roman"/>
          <w:b/>
          <w:bCs/>
          <w:lang w:eastAsia="lv-LV"/>
        </w:rPr>
        <w:t>Sent:</w:t>
      </w:r>
      <w:r w:rsidRPr="001075AA">
        <w:rPr>
          <w:rFonts w:eastAsia="Times New Roman"/>
          <w:lang w:eastAsia="lv-LV"/>
        </w:rPr>
        <w:t xml:space="preserve"> Friday, May 21, 2021 4:37 PM</w:t>
      </w:r>
      <w:r w:rsidRPr="001075AA">
        <w:rPr>
          <w:rFonts w:eastAsia="Times New Roman"/>
          <w:lang w:eastAsia="lv-LV"/>
        </w:rPr>
        <w:br/>
      </w:r>
      <w:r w:rsidRPr="001075AA">
        <w:rPr>
          <w:rFonts w:eastAsia="Times New Roman"/>
          <w:b/>
          <w:bCs/>
          <w:lang w:eastAsia="lv-LV"/>
        </w:rPr>
        <w:t>To:</w:t>
      </w:r>
      <w:r w:rsidRPr="001075AA">
        <w:rPr>
          <w:rFonts w:eastAsia="Times New Roman"/>
          <w:lang w:eastAsia="lv-LV"/>
        </w:rPr>
        <w:t xml:space="preserve"> Jānis Kalniņš &lt;Janis.Kalnins@sam.gov.lv&gt;; Satiksmes ministrija &lt;satiksmes.ministrija@sam.gov.lv&gt;</w:t>
      </w:r>
      <w:r w:rsidRPr="001075AA">
        <w:rPr>
          <w:rFonts w:eastAsia="Times New Roman"/>
          <w:lang w:eastAsia="lv-LV"/>
        </w:rPr>
        <w:br/>
      </w:r>
      <w:r w:rsidRPr="001075AA">
        <w:rPr>
          <w:rFonts w:eastAsia="Times New Roman"/>
          <w:b/>
          <w:bCs/>
          <w:lang w:eastAsia="lv-LV"/>
        </w:rPr>
        <w:t>Subject:</w:t>
      </w:r>
      <w:r w:rsidRPr="001075AA">
        <w:rPr>
          <w:rFonts w:eastAsia="Times New Roman"/>
          <w:lang w:eastAsia="lv-LV"/>
        </w:rPr>
        <w:t xml:space="preserve"> Re: Atkārtotai 5 dienu elektroniskai saskaņošanai projekts- VSS-942 "Ministru kabineta noteikumu projektu “Par transportlīdzekļa vadīšanu apreibinošu vielu ietekmē sodītas personas uzvedības korekcijas programmas noteikumi”</w:t>
      </w:r>
    </w:p>
    <w:p w14:paraId="35E96C07" w14:textId="77777777" w:rsidR="001075AA" w:rsidRDefault="001075AA" w:rsidP="001075AA"/>
    <w:p w14:paraId="56E2157E"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sz w:val="24"/>
          <w:szCs w:val="24"/>
          <w:lang/>
        </w:rPr>
        <w:t>Labdien!</w:t>
      </w:r>
    </w:p>
    <w:p w14:paraId="3A5F7185" w14:textId="77777777" w:rsidR="001075AA" w:rsidRDefault="001075AA" w:rsidP="001075AA">
      <w:pPr>
        <w:ind w:firstLine="720"/>
        <w:jc w:val="both"/>
        <w:rPr>
          <w:rFonts w:ascii="Times New Roman" w:hAnsi="Times New Roman" w:cs="Times New Roman"/>
          <w:sz w:val="24"/>
          <w:szCs w:val="24"/>
          <w:lang/>
        </w:rPr>
      </w:pPr>
    </w:p>
    <w:p w14:paraId="7A92C09F"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sz w:val="24"/>
          <w:szCs w:val="24"/>
          <w:lang/>
        </w:rPr>
        <w:t xml:space="preserve">Tieslietu ministrija ir izskatījusi Satiksmes ministrijas sagatavoto Ministru kabineta noteikumu "Par transportlīdzekļa vadīšanu apreibinošu vielu ietekmē sodītas personas uzvedības korekcijas programmas noteikumi" precizēto projektu (turpmāk – projekts) un atbalsta tā tālāku virzību, izsakot šādus </w:t>
      </w:r>
      <w:r>
        <w:rPr>
          <w:rFonts w:ascii="Times New Roman" w:hAnsi="Times New Roman" w:cs="Times New Roman"/>
          <w:b/>
          <w:bCs/>
          <w:sz w:val="24"/>
          <w:szCs w:val="24"/>
          <w:lang/>
        </w:rPr>
        <w:t>iebildumus</w:t>
      </w:r>
      <w:r>
        <w:rPr>
          <w:rFonts w:ascii="Times New Roman" w:hAnsi="Times New Roman" w:cs="Times New Roman"/>
          <w:sz w:val="24"/>
          <w:szCs w:val="24"/>
          <w:lang/>
        </w:rPr>
        <w:t xml:space="preserve">: </w:t>
      </w:r>
    </w:p>
    <w:p w14:paraId="6AF494A3" w14:textId="77777777" w:rsidR="001075AA" w:rsidRDefault="001075AA" w:rsidP="001075AA">
      <w:pPr>
        <w:ind w:firstLine="720"/>
        <w:jc w:val="both"/>
        <w:rPr>
          <w:rFonts w:ascii="Times New Roman" w:hAnsi="Times New Roman" w:cs="Times New Roman"/>
          <w:sz w:val="24"/>
          <w:szCs w:val="24"/>
          <w:lang/>
        </w:rPr>
      </w:pPr>
    </w:p>
    <w:p w14:paraId="43F71B3D"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sz w:val="24"/>
          <w:szCs w:val="24"/>
          <w:lang/>
        </w:rPr>
        <w:t>1. Tieslietu ministrija uztur 2021. gada 7. maija atzinuma 1. punktā norādīto iebildumu par apmaksas kārtības, tostarp maksas apmēra, regulējumu. Neatkārtojot iepriekš izteiktos argumentus, norādām, ka projektā paredzētais regulējums nekādi nenodrošina nedz maksas apmēra paredzamību, nedz arī būtībā nosaka kaut kādus tās ierobežojumus.</w:t>
      </w:r>
    </w:p>
    <w:p w14:paraId="79DCCDE5"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sz w:val="24"/>
          <w:szCs w:val="24"/>
          <w:lang/>
        </w:rPr>
        <w:t>No projekta satura un projekta anotācija</w:t>
      </w:r>
      <w:r>
        <w:rPr>
          <w:rFonts w:ascii="Times New Roman" w:hAnsi="Times New Roman" w:cs="Times New Roman"/>
          <w:sz w:val="24"/>
          <w:szCs w:val="24"/>
        </w:rPr>
        <w:t>s</w:t>
      </w:r>
      <w:r>
        <w:rPr>
          <w:rFonts w:ascii="Times New Roman" w:hAnsi="Times New Roman" w:cs="Times New Roman"/>
          <w:sz w:val="24"/>
          <w:szCs w:val="24"/>
          <w:lang/>
        </w:rPr>
        <w:t xml:space="preserve"> secināms, ka joprojām nav skaidrs, kādas tieši tiesiskās attiecības (publiski tiesiskas vai privāttiesiskas) pastāv starp valsti un uzvedības korekcijas programmas grupu nodarbību organizētāju, kā arī starp organizētāju un transportlīdzekļa vadītāju. No tā ir atkarīga gan organizētāja izvēles procedūra, gan arī pakalpojuma apmaksa. Projekta anotācijā šāds skaidrojums nav ietverts.</w:t>
      </w:r>
    </w:p>
    <w:p w14:paraId="26D3C91F"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sz w:val="24"/>
          <w:szCs w:val="24"/>
          <w:lang/>
        </w:rPr>
        <w:t>Tieslietu ministrijas ieskatā uzvedības korekcijas programmas</w:t>
      </w:r>
      <w:r>
        <w:rPr>
          <w:rFonts w:ascii="Times New Roman" w:hAnsi="Times New Roman" w:cs="Times New Roman"/>
          <w:color w:val="000000"/>
          <w:sz w:val="24"/>
          <w:szCs w:val="24"/>
          <w:lang/>
        </w:rPr>
        <w:t xml:space="preserve"> īstenošana ir valsts pārvaldes uzdevums. Šo uzdevumu valsts deleģē privātpersonai – uzvedības korekcijas programmas grupu nodarbību organizētajam. Projektā iekļautais regulējums tomēr nesatur visu deleģēšanas procesam nepieciešamo regulējumu (</w:t>
      </w:r>
      <w:r>
        <w:rPr>
          <w:rFonts w:ascii="Times New Roman" w:hAnsi="Times New Roman" w:cs="Times New Roman"/>
          <w:i/>
          <w:iCs/>
          <w:color w:val="000000"/>
          <w:sz w:val="24"/>
          <w:szCs w:val="24"/>
          <w:lang/>
        </w:rPr>
        <w:t>sk. Valsts pārvaldes iekārtas likuma V nodaļu</w:t>
      </w:r>
      <w:r>
        <w:rPr>
          <w:rFonts w:ascii="Times New Roman" w:hAnsi="Times New Roman" w:cs="Times New Roman"/>
          <w:color w:val="000000"/>
          <w:sz w:val="24"/>
          <w:szCs w:val="24"/>
          <w:lang/>
        </w:rPr>
        <w:t>), kā arī komisijas darbības raksturojums liecina, ka deleģēšana drīzāk nav paredzēta.</w:t>
      </w:r>
    </w:p>
    <w:p w14:paraId="25D778B7"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color w:val="000000"/>
          <w:sz w:val="24"/>
          <w:szCs w:val="24"/>
          <w:lang/>
        </w:rPr>
        <w:t xml:space="preserve">Tālāk, pievēršoties iespējamām organizētāja un transportlīdzekļa vadītāja tiesiskajām attiecībām, </w:t>
      </w:r>
      <w:r>
        <w:rPr>
          <w:rFonts w:ascii="Times New Roman" w:hAnsi="Times New Roman" w:cs="Times New Roman"/>
          <w:sz w:val="24"/>
          <w:szCs w:val="24"/>
          <w:lang/>
        </w:rPr>
        <w:t>Valsts pārvaldes iekārtas likuma 43.</w:t>
      </w:r>
      <w:r>
        <w:rPr>
          <w:rFonts w:ascii="Times New Roman" w:hAnsi="Times New Roman" w:cs="Times New Roman"/>
          <w:sz w:val="24"/>
          <w:szCs w:val="24"/>
          <w:vertAlign w:val="superscript"/>
          <w:lang/>
        </w:rPr>
        <w:t>1</w:t>
      </w:r>
      <w:r>
        <w:rPr>
          <w:rFonts w:ascii="Times New Roman" w:hAnsi="Times New Roman" w:cs="Times New Roman"/>
          <w:sz w:val="24"/>
          <w:szCs w:val="24"/>
          <w:lang/>
        </w:rPr>
        <w:t> panta pirmā daļa noteic, ka pakalpojumus, veicot valsts pārvaldes uzdevumus, privātpersona sniedz saimnieciskās darbības veidā par atlīdzību, kuru privātpersona izmanto savas darbības nodrošināšanai un attiecīgā valsts pārvaldes uzdevuma veikšanai, ja normatīvajos aktos nodokļu un nodevu jomā nav noteikts citādi. Šā likuma 43.</w:t>
      </w:r>
      <w:r>
        <w:rPr>
          <w:rFonts w:ascii="Times New Roman" w:hAnsi="Times New Roman" w:cs="Times New Roman"/>
          <w:sz w:val="24"/>
          <w:szCs w:val="24"/>
          <w:vertAlign w:val="superscript"/>
          <w:lang/>
        </w:rPr>
        <w:t>1 </w:t>
      </w:r>
      <w:r>
        <w:rPr>
          <w:rFonts w:ascii="Times New Roman" w:hAnsi="Times New Roman" w:cs="Times New Roman"/>
          <w:sz w:val="24"/>
          <w:szCs w:val="24"/>
          <w:lang/>
        </w:rPr>
        <w:t>panta pirmajā daļā ir paredzēts regulējums par valsts pārvaldes uzdevuma finansēšanu gadījumā, kad privātpersonai tiek deleģēts valsts pārvaldes uzdevums, kas ietver pakalpojuma sniegšanu saimnieciskās darbības veidā (</w:t>
      </w:r>
      <w:r>
        <w:rPr>
          <w:rFonts w:ascii="Times New Roman" w:hAnsi="Times New Roman" w:cs="Times New Roman"/>
          <w:i/>
          <w:iCs/>
          <w:sz w:val="24"/>
          <w:szCs w:val="24"/>
          <w:lang/>
        </w:rPr>
        <w:t>Senāta Administratīvo lietu departamenta 2020. gada 21. decembra sprieduma lietā Nr. SKA-401/2020 8. punkts</w:t>
      </w:r>
      <w:r>
        <w:rPr>
          <w:rFonts w:ascii="Times New Roman" w:hAnsi="Times New Roman" w:cs="Times New Roman"/>
          <w:sz w:val="24"/>
          <w:szCs w:val="24"/>
          <w:lang/>
        </w:rPr>
        <w:t>).</w:t>
      </w:r>
    </w:p>
    <w:p w14:paraId="563EBEC6"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sz w:val="24"/>
          <w:szCs w:val="24"/>
          <w:lang/>
        </w:rPr>
        <w:t>Šajā gadījumā uzmanība pievēršama vismaz diviem aspektiem. Pirmkārt, pastāv jautājums, vai deleģētais uzdevums ir tāds, ko var veikt saimnieciskās darbības veidā. Piemēram, ja deleģētais uzdevums ir publiskās varas īstenošana, un to nevar uzskatīt par pakalpojumu, ko sniedz saimnieciskās darbības veidā par atlīdzību, tad Valsts pārvaldes iekārtas likuma 43.</w:t>
      </w:r>
      <w:r>
        <w:rPr>
          <w:rFonts w:ascii="Times New Roman" w:hAnsi="Times New Roman" w:cs="Times New Roman"/>
          <w:sz w:val="24"/>
          <w:szCs w:val="24"/>
          <w:vertAlign w:val="superscript"/>
          <w:lang/>
        </w:rPr>
        <w:t>1</w:t>
      </w:r>
      <w:r>
        <w:rPr>
          <w:rFonts w:ascii="Times New Roman" w:hAnsi="Times New Roman" w:cs="Times New Roman"/>
          <w:sz w:val="24"/>
          <w:szCs w:val="24"/>
          <w:lang/>
        </w:rPr>
        <w:t> panta pirmā daļa izskatāmajā gadījumā vispār nav piemērojama (</w:t>
      </w:r>
      <w:r>
        <w:rPr>
          <w:rFonts w:ascii="Times New Roman" w:hAnsi="Times New Roman" w:cs="Times New Roman"/>
          <w:i/>
          <w:iCs/>
          <w:sz w:val="24"/>
          <w:szCs w:val="24"/>
          <w:lang/>
        </w:rPr>
        <w:t>Senāta Administratīvo lietu departamenta 2020. gada 21. decembra sprieduma lietā Nr. SKA-401/2020 8. punkts</w:t>
      </w:r>
      <w:r>
        <w:rPr>
          <w:rFonts w:ascii="Times New Roman" w:hAnsi="Times New Roman" w:cs="Times New Roman"/>
          <w:sz w:val="24"/>
          <w:szCs w:val="24"/>
          <w:lang/>
        </w:rPr>
        <w:t>).</w:t>
      </w:r>
    </w:p>
    <w:p w14:paraId="402997E8"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sz w:val="24"/>
          <w:szCs w:val="24"/>
          <w:lang/>
        </w:rPr>
        <w:t>Otrkārt, no Valsts pārvaldes iekārtas likuma 43.</w:t>
      </w:r>
      <w:r>
        <w:rPr>
          <w:rFonts w:ascii="Times New Roman" w:hAnsi="Times New Roman" w:cs="Times New Roman"/>
          <w:sz w:val="24"/>
          <w:szCs w:val="24"/>
          <w:vertAlign w:val="superscript"/>
          <w:lang/>
        </w:rPr>
        <w:t>1 </w:t>
      </w:r>
      <w:r>
        <w:rPr>
          <w:rFonts w:ascii="Times New Roman" w:hAnsi="Times New Roman" w:cs="Times New Roman"/>
          <w:sz w:val="24"/>
          <w:szCs w:val="24"/>
          <w:lang/>
        </w:rPr>
        <w:t>panta pirmās daļas neizriet deleģējums privātpersonai pašai noteikt maksu par pakalpojumu, veicot valsts pārvaldes uzdevumu. Šā likuma 43.</w:t>
      </w:r>
      <w:r>
        <w:rPr>
          <w:rFonts w:ascii="Times New Roman" w:hAnsi="Times New Roman" w:cs="Times New Roman"/>
          <w:sz w:val="24"/>
          <w:szCs w:val="24"/>
          <w:vertAlign w:val="superscript"/>
          <w:lang/>
        </w:rPr>
        <w:t>1 </w:t>
      </w:r>
      <w:r>
        <w:rPr>
          <w:rFonts w:ascii="Times New Roman" w:hAnsi="Times New Roman" w:cs="Times New Roman"/>
          <w:sz w:val="24"/>
          <w:szCs w:val="24"/>
          <w:lang/>
        </w:rPr>
        <w:t>panta otrā daļa attiecībā uz Latvijas Republikas deleģēto valsts pārvaldes uzdevumu, bet pārējās panta daļas attiecībā uz pašvaldību un citu atvasinātu publisku personu deleģēto valsts pārvaldes uzdevumu, paredz, ka tieši deleģētājs nosaka privātpersonas sniegto pakalpojumu maksas apmēru vai tā noteikšanas un apstiprināšanas kārtību, kā arī atbrīvojumus (</w:t>
      </w:r>
      <w:r>
        <w:rPr>
          <w:rFonts w:ascii="Times New Roman" w:hAnsi="Times New Roman" w:cs="Times New Roman"/>
          <w:i/>
          <w:iCs/>
          <w:sz w:val="24"/>
          <w:szCs w:val="24"/>
          <w:lang/>
        </w:rPr>
        <w:t>Senāta Administratīvo lietu departamenta 2020. gada 21. decembra sprieduma lietā Nr. SKA-401/2020 8. punkts</w:t>
      </w:r>
      <w:r>
        <w:rPr>
          <w:rFonts w:ascii="Times New Roman" w:hAnsi="Times New Roman" w:cs="Times New Roman"/>
          <w:sz w:val="24"/>
          <w:szCs w:val="24"/>
          <w:lang/>
        </w:rPr>
        <w:t>).</w:t>
      </w:r>
    </w:p>
    <w:p w14:paraId="16B5814A"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sz w:val="24"/>
          <w:szCs w:val="24"/>
          <w:lang/>
        </w:rPr>
        <w:t>Projektā iekļautais apmaksas regulējums neatbilst pat tam gadījumam, ja organizētājs sniegtu pakalpojumu saimnieciskās darbības veidā (proti, pastāvētu privāttiesiskas attiecības).</w:t>
      </w:r>
    </w:p>
    <w:p w14:paraId="4C2DBDD6"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sz w:val="24"/>
          <w:szCs w:val="24"/>
          <w:lang/>
        </w:rPr>
        <w:lastRenderedPageBreak/>
        <w:t>Ne izziņā, ne projekta anotācijā nav norādīts, ietverot pienācīgu juridisko argumentāciju, kāds uzvedības korekcijas programmas īstenošanas modelis ir izraudzīts un kā tas atbilst pastāvošajam tiesiskajam regulējumam. Tieslietu ministrija ir aicinājusi pievērst uzmanību šiem jautājumiem jau no projekta sagatavošanas pirmsākumiem 2020. gadā, kā arī norādījusi iespējamos programmas īstenošanas modeļus. Satiksmes ministrija var izraudzīties arī kādu citu veidu, kā īstenot programmu, ja tāds pastāv un atbilst Latvijas tiesību sistēmai, taču ir nepieciešama skaidra norāde par tiesisko attiecību raksturu un juridisks pamatojums. Jebkurā gadījumā katrs no veidiem, kādā iespējams organizēt publiski tiesiskā funkcijā ietilpstoša uzdevuma izpildi, prasa ievērot attiecīgajam veidam paredzēto regulējumu. Tāpēc, līdzko ir izdarīta izvēle īstenot uzdevumu  kādā  konkrētā  veidā, ir pienākums ievērot šī veida īstenošanai tiesību normās izvirzītās prasības un ierobežojumus (</w:t>
      </w:r>
      <w:r>
        <w:rPr>
          <w:rFonts w:ascii="Times New Roman" w:hAnsi="Times New Roman" w:cs="Times New Roman"/>
          <w:i/>
          <w:iCs/>
          <w:sz w:val="24"/>
          <w:szCs w:val="24"/>
          <w:lang/>
        </w:rPr>
        <w:t>sal. Senāta Administratīvo lietu departamenta 2020. gada 10. jūlija sprieduma lietā Nr. SKA-323/2020 11. punkts</w:t>
      </w:r>
      <w:r>
        <w:rPr>
          <w:rFonts w:ascii="Times New Roman" w:hAnsi="Times New Roman" w:cs="Times New Roman"/>
          <w:sz w:val="24"/>
          <w:szCs w:val="24"/>
          <w:lang/>
        </w:rPr>
        <w:t>).</w:t>
      </w:r>
    </w:p>
    <w:p w14:paraId="11D89F4D" w14:textId="77777777" w:rsidR="001075AA" w:rsidRDefault="001075AA" w:rsidP="001075AA">
      <w:pPr>
        <w:ind w:firstLine="720"/>
        <w:jc w:val="both"/>
        <w:rPr>
          <w:rFonts w:ascii="Times New Roman" w:hAnsi="Times New Roman" w:cs="Times New Roman"/>
          <w:color w:val="000000"/>
          <w:sz w:val="24"/>
          <w:szCs w:val="24"/>
          <w:lang/>
        </w:rPr>
      </w:pPr>
    </w:p>
    <w:p w14:paraId="3E63F74F" w14:textId="77777777" w:rsidR="001075AA" w:rsidRDefault="001075AA" w:rsidP="001075AA">
      <w:pPr>
        <w:ind w:firstLine="720"/>
        <w:jc w:val="both"/>
        <w:rPr>
          <w:rFonts w:ascii="Times New Roman" w:hAnsi="Times New Roman" w:cs="Times New Roman"/>
          <w:sz w:val="24"/>
          <w:szCs w:val="24"/>
          <w:lang/>
        </w:rPr>
      </w:pPr>
      <w:r>
        <w:rPr>
          <w:rFonts w:ascii="Times New Roman" w:hAnsi="Times New Roman" w:cs="Times New Roman"/>
          <w:color w:val="000000"/>
          <w:sz w:val="24"/>
          <w:szCs w:val="24"/>
          <w:lang/>
        </w:rPr>
        <w:t>2. No projekta regulējuma nav saprotams, kāda ir atsevišķu uzvedības korekcijas programmas grupu nodarbību organizētājam un speciālistam noteikto kritēriju nozīme. Tāpat projekta anotācijā nav raksturots šo kritēriju saturs (</w:t>
      </w:r>
      <w:r>
        <w:rPr>
          <w:rFonts w:ascii="Times New Roman" w:hAnsi="Times New Roman" w:cs="Times New Roman"/>
          <w:sz w:val="24"/>
          <w:szCs w:val="24"/>
          <w:lang/>
        </w:rPr>
        <w:t>piemēram, kādi elementi tiks vērtēti, kāds ir kritēriju mērķis; iekļauta vien norāde par kritēriju svarīgumu un citādākās pieejas nepieciešamību).</w:t>
      </w:r>
    </w:p>
    <w:p w14:paraId="1C135D3B"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sz w:val="24"/>
          <w:szCs w:val="24"/>
          <w:lang/>
        </w:rPr>
        <w:t>Projekta 8.2. apakšpunktā šķietami</w:t>
      </w:r>
      <w:r>
        <w:rPr>
          <w:rFonts w:ascii="Times New Roman" w:hAnsi="Times New Roman" w:cs="Times New Roman"/>
          <w:color w:val="000000"/>
          <w:sz w:val="24"/>
          <w:szCs w:val="24"/>
          <w:lang/>
        </w:rPr>
        <w:t xml:space="preserve"> paredzēta prasība par speciālistu, kam ir noteikta izglītība un pieredze. Projekta 11.2. apakšpunktā turpretī pieredze ir tikai vēlama. Savukārt projekta anotācijā norādīts, ka "[c]ita starpā svarīga ir arī uzvedības korekcijas grupu vadītāja klīniskās un veselības psiholoģiskā izglītība, tāpat vēlama (ne obligāta) ir pieredze darbā ar cilvēkiem ar atkarību, jo nepieciešama pavisam citādāka pieeja, ņemot vērā, ka cilvēkiem ar atkarībām ir raksturīga noliegšanas forma". Tādējādi projekta regulējums ir savstarpēji pretrunīgs, kā arī projekta anotācija neatbilst projektam. Vienlaikus, kā jau minēts iepriekšējā Tieslietu ministrijas atzinumā, vēlamības formā izteikta prasība rada jautājumu, kāda ir šīs prasības nozīme. Ja projektā paredz pieredzes nepieciešamību, tad tai jābūt pietiekami konkrēti noteiktai un tam nepieciešams pamatojums. Šajā gadījumā nav ierobežots organizētāju skaits un nenotiek to atlase konkursa kārtībā vai tamlīdzīgi. Līdz ar to nav saprotama vēlamības formā noteiktu kritēriju nozīme, ka arī tas rada patvaļas risku, izvēloties organizētājus.</w:t>
      </w:r>
    </w:p>
    <w:p w14:paraId="2DEC5782"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Tāpat nav skaidrs, kāds ir projekta 8.3. apakšpunktā minētā rakstiskā apliecinājuma saturs un kāpēc tas nepieciešams. Organizētāja pieteikšanās pati par sevi varētu būt kā šāds apliecinājums.</w:t>
      </w:r>
    </w:p>
    <w:p w14:paraId="5EE5DD1B"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Vienlaikus projekta 10. punktā paredzēts, ka organizētājs tikai pēc apstiprināšanas iesniedz komisijai detalizētu uzvedības korekcijas programmas aprakstu. Tomēr tam būtu jābūt vienam no galvenajiem kritērijiem, kas apliecinātu spēju vadīt grupu nodarbības. Nav saprotama prasība to iesniegt tikai pēc apstiprināšanas (organizētāja atlases).</w:t>
      </w:r>
    </w:p>
    <w:p w14:paraId="33604E91" w14:textId="77777777" w:rsidR="001075AA" w:rsidRDefault="001075AA" w:rsidP="001075AA">
      <w:pPr>
        <w:ind w:firstLine="720"/>
        <w:jc w:val="both"/>
        <w:rPr>
          <w:rFonts w:ascii="Times New Roman" w:hAnsi="Times New Roman" w:cs="Times New Roman"/>
          <w:color w:val="000000"/>
          <w:sz w:val="24"/>
          <w:szCs w:val="24"/>
          <w:lang/>
        </w:rPr>
      </w:pPr>
    </w:p>
    <w:p w14:paraId="10B2F0E3"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3. Tieslietu ministrija</w:t>
      </w:r>
      <w:r>
        <w:rPr>
          <w:rFonts w:ascii="Times New Roman" w:hAnsi="Times New Roman" w:cs="Times New Roman"/>
          <w:color w:val="000000"/>
          <w:sz w:val="24"/>
          <w:szCs w:val="24"/>
        </w:rPr>
        <w:t xml:space="preserve">s </w:t>
      </w:r>
      <w:r>
        <w:rPr>
          <w:rFonts w:ascii="Times New Roman" w:hAnsi="Times New Roman" w:cs="Times New Roman"/>
          <w:color w:val="000000"/>
          <w:sz w:val="24"/>
          <w:szCs w:val="24"/>
          <w:lang/>
        </w:rPr>
        <w:t xml:space="preserve">2021. gada 7. maija atzinuma 7. punktā bija iekļauts iebildums, kas saistīts ar projekta spēkā stāšanās laiku. Lai arī projekta anotācijā skaidrojums ir mainīts, tā būtība tomēr palikusi nemainīga un neatbilst atzinumā norādītajiem apsvērumiem. Tā rezultātā nav skaidri saprotama projekta piemērojamība laikā. </w:t>
      </w:r>
    </w:p>
    <w:p w14:paraId="3BCFF0A2"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Projekta anotācijā nav arī iekļauts pamatojums tā spēkā stāšanās laikam.</w:t>
      </w:r>
    </w:p>
    <w:p w14:paraId="334F4B39" w14:textId="77777777" w:rsidR="001075AA" w:rsidRDefault="001075AA" w:rsidP="001075AA">
      <w:pPr>
        <w:ind w:firstLine="720"/>
        <w:jc w:val="both"/>
        <w:rPr>
          <w:rFonts w:ascii="Times New Roman" w:hAnsi="Times New Roman" w:cs="Times New Roman"/>
          <w:color w:val="000000"/>
          <w:sz w:val="24"/>
          <w:szCs w:val="24"/>
          <w:lang/>
        </w:rPr>
      </w:pPr>
    </w:p>
    <w:p w14:paraId="0405916B"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4. Lūdzam novērst projekta neatbilstību Ministru kabineta 2009. gada 3. februāra noteikumu Nr. 108 "Normatīvo aktu projektu sagatavošanas noteikumi" un vispārīgajām juridiskās tehnikas prasībām.</w:t>
      </w:r>
    </w:p>
    <w:p w14:paraId="64A862D3"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4.1. Saskaņā ar Ceļu satiksmes likuma 22. panta pirmās daļas 3.</w:t>
      </w:r>
      <w:r>
        <w:rPr>
          <w:rFonts w:ascii="Times New Roman" w:hAnsi="Times New Roman" w:cs="Times New Roman"/>
          <w:color w:val="000000"/>
          <w:sz w:val="24"/>
          <w:szCs w:val="24"/>
          <w:vertAlign w:val="superscript"/>
          <w:lang/>
        </w:rPr>
        <w:t>1</w:t>
      </w:r>
      <w:r>
        <w:rPr>
          <w:rFonts w:ascii="Times New Roman" w:hAnsi="Times New Roman" w:cs="Times New Roman"/>
          <w:color w:val="000000"/>
          <w:sz w:val="24"/>
          <w:szCs w:val="24"/>
          <w:lang/>
        </w:rPr>
        <w:t> punktu projektā regulējami trīs patstāvīgi jautājumi – 1) uzvedības korekcijas programmas organizēšana, 2) tās norise un 3) apmaksa. Projekta saturam, tostarp projekta nodaļu nosaukumiem, jāatbilst pilnvarojuma apjomam. Tomēr šobrīd projekta nodaļu nosaukumi šķietami liecina, ka projekta saturs ir plašāks (vai arī projektā tiek lietota atšķirīga terminoloģija). Projekta II nodaļas nosaukums liecina, ka papildus "organizēšanai" tiek vēl regulēta "uzvedības korekcijas programma" (tā pati par sevi varētu aptvert projekta visu saturu). Projekta IV nodaļā papildus apmaksas regulējumam šķietami ir ietverts vēl "pakalpojuma cenas noteikšanas" regulējums.</w:t>
      </w:r>
    </w:p>
    <w:p w14:paraId="2AE43842"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lastRenderedPageBreak/>
        <w:t>Lūdzam precizēt projekta nodaļu nosaukumus, ievērojot Ceļu satiksmes likumā noteiktā pilnvarojuma apjomu un nodaļā ietvertā regulējuma saturu. Piemēram, pieļaujams izmantot pat tik lakoniskus nosaukumus kā "II. Organizēšana", "III. Norise" un "IV. Apmaksa".</w:t>
      </w:r>
    </w:p>
    <w:p w14:paraId="104EFC45"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4.2. Projekta 2. punktā faktiski ir ietverta atsauce uz konkrētiem Ministru kabineta noteikumiem. Pat ja nav skaidrs, kas domāts ar vārdiem "specializētā medicīniskā komisija", to var raksturot aprakstoši, neizmantojot tik detalizētu raksturojumu, kas gandrīz atkārto konkrētu Ministru kabineta noteikumu nosaukumu. Piemēram, tā vietā varētu izmantot vārdkopu "specializētā medicīniskā komisija, kas veic pirmstermiņa veselības pārbaudi transportlīdzekļa vadītājam" vai tamlīdzīgi.</w:t>
      </w:r>
    </w:p>
    <w:p w14:paraId="413090B3"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Projekta 2. punktā tāpat nav nepieciešams norādīt, ka specializētā medicīniskā komisija "sagatavo un nosūta" paziņojumu transportlīdzekļa vadītājam. Pietiek norādīt tikai pēdējo darbību ("nosūta"). Nav iespējams nosūtīt paziņojumu, ja tas nav sagatavots.</w:t>
      </w:r>
    </w:p>
    <w:p w14:paraId="7F2BEE40"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4.3. Lūdzam redakcionāli precizēt projekta 3. punktu. Pirmkārt, nav nepieciešama iekšējā atsauce uz projekta 2. punktu. Secīgi lasot projekta regulējumu, ir viegli saprotams, kas ir domāts ar paziņojumu. Ja vēlas īpaši konkretizēt, tad var izmantot aprakstošu norādi (raksturot paziņojumu, tā saturu u. tml.).</w:t>
      </w:r>
    </w:p>
    <w:p w14:paraId="53601B8A"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Otrkārt, normatīvajos aktos nav ieteicams izmantot ciešamo kārtu ("tiek pievienota"). Tā vietā norāda  darbību ("pievieno") un parasti norāda darbības veicēju (proti, kam ir pienākums pievienot attiecīgo informāciju). Minētais attiecas arī uz citiem projekta punktiem.</w:t>
      </w:r>
    </w:p>
    <w:p w14:paraId="290D5493"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Treškārt, stilistiski neveikla un neskaidra ir projekta 2. punktā lietotā frāze "personīgajā lietā pie specializētās medicīniskās komisijas, kura sniegusi atzinumu".</w:t>
      </w:r>
    </w:p>
    <w:p w14:paraId="7F726444"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 xml:space="preserve">4.4. Projekta 4. punktā vārdu "sastāvu apstiprina" vietā precīzāk būtu lietot vārdu "izveido". Satiksmes ministram kā koleģiālās institūcijas izveidotājam ir ne tikai pienākums "apstiprināt sastāvu", bet arī noteikt komisijas darba organizāciju. Turklāt projekta anotācijā norādītā informācija – "komisija, kuru vada un izveido Satiksmes ministrija" – neatbilst projekta </w:t>
      </w:r>
      <w:r>
        <w:rPr>
          <w:rFonts w:ascii="Times New Roman" w:hAnsi="Times New Roman" w:cs="Times New Roman"/>
          <w:color w:val="000000"/>
          <w:sz w:val="24"/>
          <w:szCs w:val="24"/>
        </w:rPr>
        <w:t xml:space="preserve">pašreizējam </w:t>
      </w:r>
      <w:r>
        <w:rPr>
          <w:rFonts w:ascii="Times New Roman" w:hAnsi="Times New Roman" w:cs="Times New Roman"/>
          <w:color w:val="000000"/>
          <w:sz w:val="24"/>
          <w:szCs w:val="24"/>
          <w:lang/>
        </w:rPr>
        <w:t>saturam.</w:t>
      </w:r>
    </w:p>
    <w:p w14:paraId="627D6EE0"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4.5. Lūdzam precizēt projekta 8. punktu. Punkta ievaddaļai kopā ar apakšpunktu ir jāveido viens loģisks teikums. Nav ieteicams sākt uzskaitīju</w:t>
      </w:r>
      <w:proofErr w:type="spellStart"/>
      <w:r>
        <w:rPr>
          <w:rFonts w:ascii="Times New Roman" w:hAnsi="Times New Roman" w:cs="Times New Roman"/>
          <w:color w:val="000000"/>
          <w:sz w:val="24"/>
          <w:szCs w:val="24"/>
        </w:rPr>
        <w:t>mu</w:t>
      </w:r>
      <w:proofErr w:type="spellEnd"/>
      <w:r>
        <w:rPr>
          <w:rFonts w:ascii="Times New Roman" w:hAnsi="Times New Roman" w:cs="Times New Roman"/>
          <w:color w:val="000000"/>
          <w:sz w:val="24"/>
          <w:szCs w:val="24"/>
          <w:lang/>
        </w:rPr>
        <w:t xml:space="preserve"> ar vārdu "kurai" vai "kura". Tā vietā varētu izmantot vietniekvārdu "tā".</w:t>
      </w:r>
    </w:p>
    <w:p w14:paraId="0113700E"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4.6. Normatīvā akta projektā neietver normas, kas dublē pašā normatīvā akta projektā ietverto normatīvo regulējumu (Ministru kabineta 2009. gada 3. februāra noteikumu Nr. 108 "Normatīvo aktu projektu sagatavošanas noteikumi" 3.3. apakšpunkts). Piemēram, projekta 9. punkts atkārto projekta 4. un 8. punktā ietverto regulējumu.</w:t>
      </w:r>
    </w:p>
    <w:p w14:paraId="61BE730B"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4.7. Normatīvā akta projekta tekstu raksta normatīvajiem aktiem atbilstošā vienotā stilistikā, izmantojot vienveidīgas un standartizētas vārdiskās izteiksmes (Ministru kabineta 2009. gada 3. februāra noteikumu Nr. 108 "Normatīvo aktu projektu sagatavošanas noteikumi" 2.3. apakšpunkts). Piemēram, lai noteiktu līdzīga rakstura prasību, projekta 13., 14. un 15. punktā lietotas dažādas vārdiskās izteiksmes ("nedrīkst būt", "nevar būt", "nav").</w:t>
      </w:r>
    </w:p>
    <w:p w14:paraId="62506268"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4.8. Normatīvā akta projektu raksta iespējami lakonisku (Ministru kabineta 2009. gada 3. februāra noteikumu Nr. 108 "Normatīvo aktu projektu sagatavošanas noteikumi" 2.1. apakšpunkts). Izvēloties vārdu, jābūt pārliecībai, ka tas tiešām nepieciešams. Ja bez kāda vārda var iztikt, no tā droši var atteikties un doma kļūs skaidrāka, bet izteiksme – lakoniskāka (</w:t>
      </w:r>
      <w:r>
        <w:rPr>
          <w:rFonts w:ascii="Times New Roman" w:hAnsi="Times New Roman" w:cs="Times New Roman"/>
          <w:i/>
          <w:iCs/>
          <w:color w:val="000000"/>
          <w:sz w:val="24"/>
          <w:szCs w:val="24"/>
          <w:lang/>
        </w:rPr>
        <w:t xml:space="preserve">Normatīvo aktu projektu izstrādes rokasgrāmata. </w:t>
      </w:r>
      <w:hyperlink r:id="rId7" w:history="1">
        <w:r>
          <w:rPr>
            <w:rStyle w:val="Hyperlink"/>
            <w:i/>
            <w:iCs/>
            <w:color w:val="000000"/>
            <w:sz w:val="24"/>
            <w:szCs w:val="24"/>
            <w:lang/>
          </w:rPr>
          <w:t>https://tai.mk.gov.lv/book/1/chapter/123</w:t>
        </w:r>
      </w:hyperlink>
      <w:r>
        <w:rPr>
          <w:rFonts w:ascii="Times New Roman" w:hAnsi="Times New Roman" w:cs="Times New Roman"/>
          <w:color w:val="000000"/>
          <w:sz w:val="24"/>
          <w:szCs w:val="24"/>
          <w:lang/>
        </w:rPr>
        <w:t>). Ievērojot minēto, lūdzam pārskatīt projekta tekstu. Piemēram, nav nepieciešams īpaši norādīt, ka personai "ir pienākums" (projekta 16. punkts), ja tas ir skaidrs</w:t>
      </w:r>
      <w:r>
        <w:rPr>
          <w:rFonts w:ascii="Times New Roman" w:hAnsi="Times New Roman" w:cs="Times New Roman"/>
          <w:color w:val="000000"/>
          <w:sz w:val="24"/>
          <w:szCs w:val="24"/>
        </w:rPr>
        <w:t xml:space="preserve"> no </w:t>
      </w:r>
      <w:r>
        <w:rPr>
          <w:rFonts w:ascii="Times New Roman" w:hAnsi="Times New Roman" w:cs="Times New Roman"/>
          <w:color w:val="000000"/>
          <w:sz w:val="24"/>
          <w:szCs w:val="24"/>
          <w:lang/>
        </w:rPr>
        <w:t>veicamās darbības (piem., projekta 16. punktā – "organizētājs informē"). Tāpat "veic samaksu" vietā var lietot "samaksā" (projekta 22. punkts); "aizpildīts pieteikums" vietā – "pieteikums" (projekta 16. punkts).</w:t>
      </w:r>
    </w:p>
    <w:p w14:paraId="40DC2D49"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Projektā arī bieži ir lietota vārdkopa "uzvedības korekcijas programmas grupu nodarbības". Lai projekta teksts būtu īsāks, ieteicams izveidot šīs vārdkopas saīsinājumu (piemēram, "nodarbības").</w:t>
      </w:r>
    </w:p>
    <w:p w14:paraId="59C22CE0"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Normatīvajos aktos vairās no vajadzības izteiksmes lietošanas, jo normatīvajā aktā noteiktās prasības jāievēro neatkarīgi no tā, vai tajā lietota vajadzības izteiksme. Ne nozīmes ziņā, ne stilistiski normatīvajā aktā neiederas darbības vārds "vajadzēt" (</w:t>
      </w:r>
      <w:r>
        <w:rPr>
          <w:rFonts w:ascii="Times New Roman" w:hAnsi="Times New Roman" w:cs="Times New Roman"/>
          <w:i/>
          <w:iCs/>
          <w:color w:val="000000"/>
          <w:sz w:val="24"/>
          <w:szCs w:val="24"/>
          <w:lang/>
        </w:rPr>
        <w:t xml:space="preserve">Normatīvo aktu projektu izstrādes rokasgrāmata, </w:t>
      </w:r>
      <w:hyperlink r:id="rId8" w:history="1">
        <w:r>
          <w:rPr>
            <w:rStyle w:val="Hyperlink"/>
            <w:i/>
            <w:iCs/>
            <w:color w:val="000000"/>
            <w:sz w:val="24"/>
            <w:szCs w:val="24"/>
            <w:lang/>
          </w:rPr>
          <w:t>https://tai.mk.gov.lv/book/1/chapter/126</w:t>
        </w:r>
      </w:hyperlink>
      <w:r>
        <w:rPr>
          <w:rFonts w:ascii="Times New Roman" w:hAnsi="Times New Roman" w:cs="Times New Roman"/>
          <w:color w:val="000000"/>
          <w:sz w:val="24"/>
          <w:szCs w:val="24"/>
          <w:lang/>
        </w:rPr>
        <w:t xml:space="preserve">). Lūdzam pārskatīt projektu, </w:t>
      </w:r>
      <w:r>
        <w:rPr>
          <w:rFonts w:ascii="Times New Roman" w:hAnsi="Times New Roman" w:cs="Times New Roman"/>
          <w:color w:val="000000"/>
          <w:sz w:val="24"/>
          <w:szCs w:val="24"/>
          <w:lang/>
        </w:rPr>
        <w:lastRenderedPageBreak/>
        <w:t>izvairoties no vajadzības izteiksmes lietošanas (piemēram, "jāatbilst" – "atbilst", "jāapmeklē" – "apmeklē", "jāreģistrējas" – "reģistrējas").</w:t>
      </w:r>
    </w:p>
    <w:p w14:paraId="094061AC" w14:textId="77777777" w:rsidR="001075AA" w:rsidRDefault="001075AA" w:rsidP="001075AA">
      <w:pPr>
        <w:ind w:firstLine="720"/>
        <w:jc w:val="both"/>
        <w:rPr>
          <w:rFonts w:ascii="Times New Roman" w:hAnsi="Times New Roman" w:cs="Times New Roman"/>
          <w:color w:val="000000"/>
          <w:sz w:val="24"/>
          <w:szCs w:val="24"/>
          <w:lang/>
        </w:rPr>
      </w:pPr>
    </w:p>
    <w:p w14:paraId="05EFC43A"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5. Lūdzam pienācīgi aizpildīt projekta anotāciju, ievērojot Ministru kabineta 2009. gada 15. decembra instrukcijas Nr. 19 "Tiesību akta projekta sākotnējās ietekmes izvērtēšanas kārtība" prasības.</w:t>
      </w:r>
    </w:p>
    <w:p w14:paraId="5A479626"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5.1. Projekta anotācijā jābūt atrodamai informācijai par katra projektā iekļautā vienību saturiskā bloka būtību, nepārrakstot projektā ietvertās normas (Ministru kabineta 2009. gada 15. decembra instrukcijas Nr. 19 "Tiesību akta projekta sākotnējās ietekmes izvērtēšanas kārtība" 14.3. apakšpunkts). Šobrīd projekta anotācijas I sadaļas 2. punktā, ciktāl tas attiecas tieši uz projekta saturu, pamatā ir pārrakstītas projektā ietvertās normas (sk. īpaši uzskaitījumu, kas iekļauts pēc vārdiem "Tādējādi Noteikumu projekts paredz"). Tas nekādā veidā neatklāj šā regulējuma būtību (nepieciešamību, mērķi, ierobežojumu attaisnojamību, piemērošanas vadlīnijas utt.). Turklāt projekta anotācijā nav atrodamas atbildes pat uz Tieslietu ministrijas tieši norādītajiem jautājumiem, kas jau atklātu vismaz dažu regulēto jautājumu būtību.</w:t>
      </w:r>
    </w:p>
    <w:p w14:paraId="075808AC"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Vienlaikus norādām, ka projekta anotācijai ir jāatbilst projekta saturam.</w:t>
      </w:r>
    </w:p>
    <w:p w14:paraId="5751724B"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5.2. Projekta 4. punktā vispārīgi regulēta komisijas izveidošana un sastāvs. Tieslietu ministrijas 2020. gada 27. novembra atzinuma Nr. 1-9.1/1266 2. punktā bija iekļauta virkne kritēriju, ko nepieciešams izvērtēt un attiecīgi pamatot projekta anotācijā. Daļēji atbildes uz tiem ir atrodas izziņā, tomēr Ministru kabineta noteikumu projekta nozīmīgākais sagatavošanas dokuments ir tieši anotācija, kur tad arī iekļaujams attiecīgais pamatojums. Tādējādi no projekta anotācijas jābūt skaidram, kāpēc šāda komisija ir nepieciešama, kā tas atbilst pakalpojuma sniedzēju izvēles procedūras regulējumam (tostarp arī citos normatīvajos aktos, piemēram, deleģēšanas procedūras vispārīgajam regulējumam), kādi ir komisijas dalībnieku izvēles kritēriji</w:t>
      </w:r>
      <w:r>
        <w:rPr>
          <w:rFonts w:ascii="Times New Roman" w:hAnsi="Times New Roman" w:cs="Times New Roman"/>
          <w:color w:val="000000"/>
          <w:sz w:val="24"/>
          <w:szCs w:val="24"/>
        </w:rPr>
        <w:t xml:space="preserve"> un kāda ir </w:t>
      </w:r>
      <w:r>
        <w:rPr>
          <w:rFonts w:ascii="Times New Roman" w:hAnsi="Times New Roman" w:cs="Times New Roman"/>
          <w:color w:val="000000"/>
          <w:sz w:val="24"/>
          <w:szCs w:val="24"/>
          <w:lang/>
        </w:rPr>
        <w:t>komisijas vieta valsts pārvaldes institucionālajā sistēmā.</w:t>
      </w:r>
    </w:p>
    <w:p w14:paraId="6A9A8FD8"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Projekta anotācijas I sadaļas 2. punktā norādīts: "Satiksmes ministrija sagatavo un komisijas locekļi apstiprina komisijas darba organizāciju, kurā tiek noteikta komisijas uzbūve, darba organizācija, kā arī komisijas sēžu norises kārtība" Kā jau norādīts iepriekšējā Tieslietu ministrijas atzinumā, iestādes izveidotai koleģiālai institūcijai ir nepieciešams reglaments. To izdod tās iestādes vadītājs, kura šo institūciju ir izveidojusi. Reglaments tad arī noteic institūcijas uzbūvi un darba organizāciju (Valsts pārvaldes iekārtas likuma 73. panta pirmās daļas 1. punkts un 75. panta otrā daļa).</w:t>
      </w:r>
    </w:p>
    <w:p w14:paraId="468D4130"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 xml:space="preserve">5.3. Lūdzam precizēt projekta anotācijas VII sadaļas 1. punktā ietverto institūciju uzskaitījumu. Tas vairs neatbilst projekta saturam (projekta 4. punkts). </w:t>
      </w:r>
    </w:p>
    <w:p w14:paraId="340AA19C" w14:textId="77777777" w:rsidR="001075AA" w:rsidRDefault="001075AA" w:rsidP="001075AA">
      <w:pPr>
        <w:ind w:firstLine="720"/>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Tāpat projekta anotācijas VII sadaļas 2. punktā jāietver skaidrojums, kā projekta izpilde ietekmē institūcijas funkcijas un uzdevumus. Ja funkcijas un uzdevumi tiek paplašināti vai sašaurināti, jāsniedz skaidrojums, kādā veidā šī paplašināšana vai sašaurināšana izriet no projektā iekļautajām normām (Ministru kabineta 2009. gada 15. decembra instrukcijas Nr. 19 "Tiesību akta projekta sākotnējās ietekmes izvērtēšanas kārtība" 66.1. apakšpunkts). Ir redzams, ka projekta maina institūciju uzdevumu apjomu, kā arī tiek izveidota jauna koleģiāla institūcija.</w:t>
      </w:r>
    </w:p>
    <w:p w14:paraId="16E6A8FA" w14:textId="77777777" w:rsidR="001075AA" w:rsidRDefault="001075AA" w:rsidP="001075AA">
      <w:pPr>
        <w:pStyle w:val="NormalWeb"/>
        <w:ind w:firstLine="720"/>
        <w:jc w:val="both"/>
        <w:rPr>
          <w:color w:val="000000"/>
        </w:rPr>
      </w:pPr>
      <w:r>
        <w:rPr>
          <w:color w:val="000000"/>
        </w:rPr>
        <w:t>Ar cieņu</w:t>
      </w:r>
    </w:p>
    <w:p w14:paraId="29ED475A" w14:textId="77777777" w:rsidR="001075AA" w:rsidRDefault="001075AA" w:rsidP="001075AA">
      <w:pPr>
        <w:rPr>
          <w:lang/>
        </w:rPr>
      </w:pPr>
    </w:p>
    <w:p w14:paraId="0ED71AF2" w14:textId="693C82E3" w:rsidR="001075AA" w:rsidRDefault="001075AA" w:rsidP="001075AA">
      <w:pPr>
        <w:rPr>
          <w:rFonts w:ascii="Times New Roman" w:hAnsi="Times New Roman" w:cs="Times New Roman"/>
          <w:color w:val="000000"/>
          <w:sz w:val="20"/>
          <w:szCs w:val="20"/>
          <w:lang w:eastAsia="en-GB"/>
        </w:rPr>
      </w:pPr>
      <w:r>
        <w:rPr>
          <w:noProof/>
        </w:rPr>
        <w:drawing>
          <wp:anchor distT="0" distB="0" distL="114300" distR="114300" simplePos="0" relativeHeight="251659264" behindDoc="0" locked="0" layoutInCell="1" allowOverlap="0" wp14:anchorId="722B5880" wp14:editId="6FBAB848">
            <wp:simplePos x="0" y="0"/>
            <wp:positionH relativeFrom="column">
              <wp:align>left</wp:align>
            </wp:positionH>
            <wp:positionV relativeFrom="line">
              <wp:posOffset>0</wp:posOffset>
            </wp:positionV>
            <wp:extent cx="1247775" cy="981075"/>
            <wp:effectExtent l="0" t="0" r="9525" b="9525"/>
            <wp:wrapSquare wrapText="bothSides"/>
            <wp:docPr id="2" name="Picture 2" descr="signature_48535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_4853529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7775" cy="9810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color w:val="000000"/>
          <w:sz w:val="20"/>
          <w:szCs w:val="20"/>
          <w:lang w:eastAsia="en-GB"/>
        </w:rPr>
        <w:t>Sandis Vilcāns</w:t>
      </w:r>
    </w:p>
    <w:p w14:paraId="6D3161D2" w14:textId="77777777" w:rsidR="001075AA" w:rsidRDefault="001075AA" w:rsidP="001075AA">
      <w:pPr>
        <w:rPr>
          <w:rFonts w:ascii="Times New Roman" w:hAnsi="Times New Roman" w:cs="Times New Roman"/>
          <w:color w:val="000000"/>
          <w:sz w:val="20"/>
          <w:szCs w:val="20"/>
          <w:lang w:eastAsia="en-GB"/>
        </w:rPr>
      </w:pPr>
      <w:r>
        <w:rPr>
          <w:rFonts w:ascii="Times New Roman" w:hAnsi="Times New Roman" w:cs="Times New Roman"/>
          <w:color w:val="000000"/>
          <w:sz w:val="20"/>
          <w:szCs w:val="20"/>
          <w:lang w:eastAsia="en-GB"/>
        </w:rPr>
        <w:t>Tieslietu ministrijas</w:t>
      </w:r>
      <w:r>
        <w:rPr>
          <w:rFonts w:ascii="Times New Roman" w:hAnsi="Times New Roman" w:cs="Times New Roman"/>
          <w:color w:val="000000"/>
          <w:sz w:val="20"/>
          <w:szCs w:val="20"/>
          <w:lang w:eastAsia="en-GB"/>
        </w:rPr>
        <w:br/>
        <w:t>Valststiesību departamenta </w:t>
      </w:r>
      <w:r>
        <w:rPr>
          <w:rFonts w:ascii="Times New Roman" w:hAnsi="Times New Roman" w:cs="Times New Roman"/>
          <w:color w:val="000000"/>
          <w:sz w:val="20"/>
          <w:szCs w:val="20"/>
          <w:lang w:eastAsia="en-GB"/>
        </w:rPr>
        <w:br/>
        <w:t>Administratīvās atbildības politikas nodaļas jurists</w:t>
      </w:r>
      <w:r>
        <w:rPr>
          <w:rFonts w:ascii="Times New Roman" w:hAnsi="Times New Roman" w:cs="Times New Roman"/>
          <w:color w:val="000000"/>
          <w:sz w:val="20"/>
          <w:szCs w:val="20"/>
          <w:lang w:eastAsia="en-GB"/>
        </w:rPr>
        <w:br/>
        <w:t>E-pasts: </w:t>
      </w:r>
      <w:hyperlink r:id="rId10" w:history="1">
        <w:r>
          <w:rPr>
            <w:rStyle w:val="Hyperlink"/>
            <w:color w:val="000000"/>
            <w:sz w:val="20"/>
            <w:szCs w:val="20"/>
            <w:lang w:eastAsia="en-GB"/>
          </w:rPr>
          <w:t>Sandis.Vilcans@tm.gov.lv</w:t>
        </w:r>
      </w:hyperlink>
    </w:p>
    <w:p w14:paraId="1A82A011" w14:textId="77777777" w:rsidR="001075AA" w:rsidRDefault="001075AA" w:rsidP="001075AA">
      <w:pPr>
        <w:rPr>
          <w:lang/>
        </w:rPr>
      </w:pPr>
      <w:hyperlink r:id="rId11" w:tooltip="http://www.tm.gov.lv/" w:history="1">
        <w:r>
          <w:rPr>
            <w:rStyle w:val="Hyperlink"/>
            <w:color w:val="000000"/>
            <w:sz w:val="20"/>
            <w:szCs w:val="20"/>
            <w:lang/>
          </w:rPr>
          <w:t>www.tm.gov.lv</w:t>
        </w:r>
      </w:hyperlink>
      <w:r>
        <w:rPr>
          <w:rFonts w:ascii="Times New Roman" w:hAnsi="Times New Roman" w:cs="Times New Roman"/>
          <w:color w:val="000000"/>
          <w:sz w:val="20"/>
          <w:szCs w:val="20"/>
          <w:lang/>
        </w:rPr>
        <w:t> </w:t>
      </w:r>
    </w:p>
    <w:p w14:paraId="4F31D557" w14:textId="45D250CF" w:rsidR="00E914AF" w:rsidRPr="00E914AF" w:rsidRDefault="00E914AF" w:rsidP="00E914AF"/>
    <w:p w14:paraId="3072FCC0" w14:textId="46572CA3" w:rsidR="00E914AF" w:rsidRDefault="00E914AF" w:rsidP="00E914AF"/>
    <w:p w14:paraId="19584FB8" w14:textId="6BF70BE6" w:rsidR="00E914AF" w:rsidRPr="00E914AF" w:rsidRDefault="00E914AF" w:rsidP="00E914AF">
      <w:pPr>
        <w:tabs>
          <w:tab w:val="left" w:pos="1884"/>
        </w:tabs>
      </w:pPr>
      <w:r>
        <w:tab/>
      </w:r>
    </w:p>
    <w:sectPr w:rsidR="00E914AF" w:rsidRPr="00E914AF" w:rsidSect="00C53CD0">
      <w:footerReference w:type="first" r:id="rId12"/>
      <w:pgSz w:w="11906" w:h="16838"/>
      <w:pgMar w:top="709"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4B649" w14:textId="77777777" w:rsidR="006B4893" w:rsidRDefault="006B4893" w:rsidP="00A15B91">
      <w:r>
        <w:separator/>
      </w:r>
    </w:p>
  </w:endnote>
  <w:endnote w:type="continuationSeparator" w:id="0">
    <w:p w14:paraId="6FA61D33" w14:textId="77777777" w:rsidR="006B4893" w:rsidRDefault="006B4893" w:rsidP="00A15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E7ED6" w14:textId="4708159D" w:rsidR="00A15B91" w:rsidRPr="001075AA" w:rsidRDefault="001075AA" w:rsidP="001075AA">
    <w:pPr>
      <w:pStyle w:val="Footer"/>
    </w:pPr>
    <w:r w:rsidRPr="001075AA">
      <w:t>TMatz_210521-korekc.gr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E6282" w14:textId="77777777" w:rsidR="006B4893" w:rsidRDefault="006B4893" w:rsidP="00A15B91">
      <w:r>
        <w:separator/>
      </w:r>
    </w:p>
  </w:footnote>
  <w:footnote w:type="continuationSeparator" w:id="0">
    <w:p w14:paraId="5D61ED8A" w14:textId="77777777" w:rsidR="006B4893" w:rsidRDefault="006B4893" w:rsidP="00A15B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DB565C"/>
    <w:multiLevelType w:val="hybridMultilevel"/>
    <w:tmpl w:val="B61E1F3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E24"/>
    <w:rsid w:val="00001FD2"/>
    <w:rsid w:val="000020F0"/>
    <w:rsid w:val="00002ECE"/>
    <w:rsid w:val="00004BA5"/>
    <w:rsid w:val="00014F0E"/>
    <w:rsid w:val="000263BF"/>
    <w:rsid w:val="00030212"/>
    <w:rsid w:val="00033B04"/>
    <w:rsid w:val="000358D4"/>
    <w:rsid w:val="00035CBB"/>
    <w:rsid w:val="00041684"/>
    <w:rsid w:val="000416D9"/>
    <w:rsid w:val="000509E6"/>
    <w:rsid w:val="0005369C"/>
    <w:rsid w:val="000566E5"/>
    <w:rsid w:val="0006106B"/>
    <w:rsid w:val="0006195E"/>
    <w:rsid w:val="000623D4"/>
    <w:rsid w:val="00066003"/>
    <w:rsid w:val="000704E0"/>
    <w:rsid w:val="000823C2"/>
    <w:rsid w:val="00086F46"/>
    <w:rsid w:val="00087CD0"/>
    <w:rsid w:val="00090142"/>
    <w:rsid w:val="000903CA"/>
    <w:rsid w:val="000A0ED7"/>
    <w:rsid w:val="000A1807"/>
    <w:rsid w:val="000A2377"/>
    <w:rsid w:val="000A5034"/>
    <w:rsid w:val="000B0F84"/>
    <w:rsid w:val="000B1BDB"/>
    <w:rsid w:val="000C0E7C"/>
    <w:rsid w:val="000C208A"/>
    <w:rsid w:val="000D3965"/>
    <w:rsid w:val="000D6D42"/>
    <w:rsid w:val="000E1976"/>
    <w:rsid w:val="000E3FF8"/>
    <w:rsid w:val="000E41AC"/>
    <w:rsid w:val="000E469F"/>
    <w:rsid w:val="000E76CC"/>
    <w:rsid w:val="000F1DC3"/>
    <w:rsid w:val="001026EB"/>
    <w:rsid w:val="00106477"/>
    <w:rsid w:val="001067D9"/>
    <w:rsid w:val="001075AA"/>
    <w:rsid w:val="0011328D"/>
    <w:rsid w:val="00113C5D"/>
    <w:rsid w:val="0011481B"/>
    <w:rsid w:val="001208F2"/>
    <w:rsid w:val="00122662"/>
    <w:rsid w:val="00123E9E"/>
    <w:rsid w:val="00124F4B"/>
    <w:rsid w:val="001311D2"/>
    <w:rsid w:val="00131F7C"/>
    <w:rsid w:val="001352FC"/>
    <w:rsid w:val="00147158"/>
    <w:rsid w:val="00147601"/>
    <w:rsid w:val="0015080D"/>
    <w:rsid w:val="0015213E"/>
    <w:rsid w:val="00153624"/>
    <w:rsid w:val="001536E6"/>
    <w:rsid w:val="00153FCF"/>
    <w:rsid w:val="00155C5F"/>
    <w:rsid w:val="00163E83"/>
    <w:rsid w:val="0018552D"/>
    <w:rsid w:val="00186871"/>
    <w:rsid w:val="001948E0"/>
    <w:rsid w:val="00196570"/>
    <w:rsid w:val="001A2BF4"/>
    <w:rsid w:val="001A5E3D"/>
    <w:rsid w:val="001A7F8A"/>
    <w:rsid w:val="001B2F16"/>
    <w:rsid w:val="001B3B01"/>
    <w:rsid w:val="001B55D6"/>
    <w:rsid w:val="001C15CB"/>
    <w:rsid w:val="001C6B70"/>
    <w:rsid w:val="001D07ED"/>
    <w:rsid w:val="001D278B"/>
    <w:rsid w:val="001D3D35"/>
    <w:rsid w:val="001D4453"/>
    <w:rsid w:val="001E211D"/>
    <w:rsid w:val="001E2E8F"/>
    <w:rsid w:val="001E51B4"/>
    <w:rsid w:val="001E71B8"/>
    <w:rsid w:val="001F4282"/>
    <w:rsid w:val="001F6CB5"/>
    <w:rsid w:val="00202324"/>
    <w:rsid w:val="00204E5C"/>
    <w:rsid w:val="002100BE"/>
    <w:rsid w:val="00212DC5"/>
    <w:rsid w:val="00212F64"/>
    <w:rsid w:val="00214302"/>
    <w:rsid w:val="00223AB6"/>
    <w:rsid w:val="00230319"/>
    <w:rsid w:val="00230CAC"/>
    <w:rsid w:val="0024282D"/>
    <w:rsid w:val="00252E01"/>
    <w:rsid w:val="00260D4C"/>
    <w:rsid w:val="002714F0"/>
    <w:rsid w:val="002756BF"/>
    <w:rsid w:val="00277516"/>
    <w:rsid w:val="00280725"/>
    <w:rsid w:val="00280C1A"/>
    <w:rsid w:val="00281012"/>
    <w:rsid w:val="00286A2F"/>
    <w:rsid w:val="00286A9D"/>
    <w:rsid w:val="002879EA"/>
    <w:rsid w:val="0029245F"/>
    <w:rsid w:val="002944A2"/>
    <w:rsid w:val="00295366"/>
    <w:rsid w:val="00296450"/>
    <w:rsid w:val="00296ACF"/>
    <w:rsid w:val="002A1AA2"/>
    <w:rsid w:val="002A2716"/>
    <w:rsid w:val="002A63C5"/>
    <w:rsid w:val="002A692B"/>
    <w:rsid w:val="002B4B9F"/>
    <w:rsid w:val="002B61B5"/>
    <w:rsid w:val="002C4592"/>
    <w:rsid w:val="002C5BFA"/>
    <w:rsid w:val="002C5C21"/>
    <w:rsid w:val="002C5F5C"/>
    <w:rsid w:val="002C6588"/>
    <w:rsid w:val="002D328C"/>
    <w:rsid w:val="002D7614"/>
    <w:rsid w:val="002E12A3"/>
    <w:rsid w:val="002F1C9A"/>
    <w:rsid w:val="002F35C6"/>
    <w:rsid w:val="003008D7"/>
    <w:rsid w:val="00301840"/>
    <w:rsid w:val="00304A30"/>
    <w:rsid w:val="00317484"/>
    <w:rsid w:val="00320DD8"/>
    <w:rsid w:val="00330484"/>
    <w:rsid w:val="003324FF"/>
    <w:rsid w:val="00335F2B"/>
    <w:rsid w:val="003423E4"/>
    <w:rsid w:val="00345BB9"/>
    <w:rsid w:val="00352468"/>
    <w:rsid w:val="0036072E"/>
    <w:rsid w:val="003655EC"/>
    <w:rsid w:val="00373591"/>
    <w:rsid w:val="0037596C"/>
    <w:rsid w:val="00376C44"/>
    <w:rsid w:val="00383A65"/>
    <w:rsid w:val="003903D8"/>
    <w:rsid w:val="00390B49"/>
    <w:rsid w:val="003930F3"/>
    <w:rsid w:val="00394E47"/>
    <w:rsid w:val="003A0864"/>
    <w:rsid w:val="003A4436"/>
    <w:rsid w:val="003A7972"/>
    <w:rsid w:val="003B04B6"/>
    <w:rsid w:val="003B2B81"/>
    <w:rsid w:val="003C1592"/>
    <w:rsid w:val="003C2AD3"/>
    <w:rsid w:val="003C2BF4"/>
    <w:rsid w:val="003C6430"/>
    <w:rsid w:val="003C7689"/>
    <w:rsid w:val="003D1B61"/>
    <w:rsid w:val="003D4207"/>
    <w:rsid w:val="003D5E95"/>
    <w:rsid w:val="003E0342"/>
    <w:rsid w:val="003E0C9F"/>
    <w:rsid w:val="003F01EA"/>
    <w:rsid w:val="003F2383"/>
    <w:rsid w:val="003F7A2C"/>
    <w:rsid w:val="00404ACE"/>
    <w:rsid w:val="00404B91"/>
    <w:rsid w:val="00410AFE"/>
    <w:rsid w:val="00416FB3"/>
    <w:rsid w:val="00417650"/>
    <w:rsid w:val="00421AB0"/>
    <w:rsid w:val="004252F7"/>
    <w:rsid w:val="00431543"/>
    <w:rsid w:val="00435FC5"/>
    <w:rsid w:val="00442760"/>
    <w:rsid w:val="00445C40"/>
    <w:rsid w:val="00451268"/>
    <w:rsid w:val="00453759"/>
    <w:rsid w:val="00454F44"/>
    <w:rsid w:val="00457489"/>
    <w:rsid w:val="00460253"/>
    <w:rsid w:val="00463059"/>
    <w:rsid w:val="004661A6"/>
    <w:rsid w:val="00470D26"/>
    <w:rsid w:val="00470EFA"/>
    <w:rsid w:val="00471D3E"/>
    <w:rsid w:val="004728B1"/>
    <w:rsid w:val="00473E9C"/>
    <w:rsid w:val="00476E63"/>
    <w:rsid w:val="00481160"/>
    <w:rsid w:val="00487C43"/>
    <w:rsid w:val="00491180"/>
    <w:rsid w:val="00491479"/>
    <w:rsid w:val="00491F99"/>
    <w:rsid w:val="004A1082"/>
    <w:rsid w:val="004A1EAF"/>
    <w:rsid w:val="004A32BB"/>
    <w:rsid w:val="004A6B33"/>
    <w:rsid w:val="004C0B4E"/>
    <w:rsid w:val="004C3BC9"/>
    <w:rsid w:val="004C4D8D"/>
    <w:rsid w:val="004D3E23"/>
    <w:rsid w:val="004D4B11"/>
    <w:rsid w:val="004D4B78"/>
    <w:rsid w:val="004D51B2"/>
    <w:rsid w:val="004D7E14"/>
    <w:rsid w:val="004E1A78"/>
    <w:rsid w:val="004E1B97"/>
    <w:rsid w:val="0050169B"/>
    <w:rsid w:val="00504DB4"/>
    <w:rsid w:val="005058DB"/>
    <w:rsid w:val="00507B43"/>
    <w:rsid w:val="00512281"/>
    <w:rsid w:val="00513E59"/>
    <w:rsid w:val="005152AA"/>
    <w:rsid w:val="00523678"/>
    <w:rsid w:val="00525F8C"/>
    <w:rsid w:val="0053087A"/>
    <w:rsid w:val="00541345"/>
    <w:rsid w:val="00542E8D"/>
    <w:rsid w:val="00544E2A"/>
    <w:rsid w:val="005452FF"/>
    <w:rsid w:val="00545743"/>
    <w:rsid w:val="0054768E"/>
    <w:rsid w:val="0055008B"/>
    <w:rsid w:val="00557F6E"/>
    <w:rsid w:val="00572025"/>
    <w:rsid w:val="00575F13"/>
    <w:rsid w:val="00575FF3"/>
    <w:rsid w:val="00582C60"/>
    <w:rsid w:val="0059218B"/>
    <w:rsid w:val="005931D4"/>
    <w:rsid w:val="00596D66"/>
    <w:rsid w:val="005A0CA3"/>
    <w:rsid w:val="005A0E8D"/>
    <w:rsid w:val="005B0A2A"/>
    <w:rsid w:val="005B4257"/>
    <w:rsid w:val="005B43B6"/>
    <w:rsid w:val="005B5A58"/>
    <w:rsid w:val="005C15DD"/>
    <w:rsid w:val="005C18B0"/>
    <w:rsid w:val="005C33F9"/>
    <w:rsid w:val="005C5DFC"/>
    <w:rsid w:val="005D3524"/>
    <w:rsid w:val="005D38A5"/>
    <w:rsid w:val="005F20E3"/>
    <w:rsid w:val="00602A44"/>
    <w:rsid w:val="0060560E"/>
    <w:rsid w:val="00605BB1"/>
    <w:rsid w:val="00605D21"/>
    <w:rsid w:val="00607316"/>
    <w:rsid w:val="006163B0"/>
    <w:rsid w:val="006165BB"/>
    <w:rsid w:val="00620617"/>
    <w:rsid w:val="0062134D"/>
    <w:rsid w:val="00624C90"/>
    <w:rsid w:val="0063103A"/>
    <w:rsid w:val="006321B2"/>
    <w:rsid w:val="0064238B"/>
    <w:rsid w:val="006444E7"/>
    <w:rsid w:val="00646D8D"/>
    <w:rsid w:val="006530E6"/>
    <w:rsid w:val="00653522"/>
    <w:rsid w:val="00653AB6"/>
    <w:rsid w:val="00653DD6"/>
    <w:rsid w:val="0066086E"/>
    <w:rsid w:val="00666D9D"/>
    <w:rsid w:val="00667055"/>
    <w:rsid w:val="00671B44"/>
    <w:rsid w:val="00673F9D"/>
    <w:rsid w:val="0068017D"/>
    <w:rsid w:val="006804A3"/>
    <w:rsid w:val="00683E06"/>
    <w:rsid w:val="0069079E"/>
    <w:rsid w:val="00693796"/>
    <w:rsid w:val="006944D4"/>
    <w:rsid w:val="006A486C"/>
    <w:rsid w:val="006A68A7"/>
    <w:rsid w:val="006B0BD5"/>
    <w:rsid w:val="006B35DF"/>
    <w:rsid w:val="006B4893"/>
    <w:rsid w:val="006B6234"/>
    <w:rsid w:val="006C205B"/>
    <w:rsid w:val="006C708B"/>
    <w:rsid w:val="006D14D4"/>
    <w:rsid w:val="006D1683"/>
    <w:rsid w:val="006D798D"/>
    <w:rsid w:val="006E2E20"/>
    <w:rsid w:val="006E708D"/>
    <w:rsid w:val="006E7A4F"/>
    <w:rsid w:val="006F03F0"/>
    <w:rsid w:val="006F2110"/>
    <w:rsid w:val="006F2D78"/>
    <w:rsid w:val="006F40A5"/>
    <w:rsid w:val="00704EBA"/>
    <w:rsid w:val="00705192"/>
    <w:rsid w:val="00711BB7"/>
    <w:rsid w:val="00714AAD"/>
    <w:rsid w:val="00715396"/>
    <w:rsid w:val="00716F9F"/>
    <w:rsid w:val="00732FF3"/>
    <w:rsid w:val="00740CCA"/>
    <w:rsid w:val="007441B4"/>
    <w:rsid w:val="0074712A"/>
    <w:rsid w:val="00756961"/>
    <w:rsid w:val="0075793D"/>
    <w:rsid w:val="00763037"/>
    <w:rsid w:val="00776BB1"/>
    <w:rsid w:val="00781157"/>
    <w:rsid w:val="007837B0"/>
    <w:rsid w:val="007844E6"/>
    <w:rsid w:val="00797A9D"/>
    <w:rsid w:val="007A0140"/>
    <w:rsid w:val="007A61DA"/>
    <w:rsid w:val="007B442A"/>
    <w:rsid w:val="007B675F"/>
    <w:rsid w:val="007C4BC0"/>
    <w:rsid w:val="007D4638"/>
    <w:rsid w:val="007D47A6"/>
    <w:rsid w:val="007D7B50"/>
    <w:rsid w:val="007D7D3F"/>
    <w:rsid w:val="007E2099"/>
    <w:rsid w:val="007E4345"/>
    <w:rsid w:val="008021E2"/>
    <w:rsid w:val="0080671E"/>
    <w:rsid w:val="00810206"/>
    <w:rsid w:val="00811D39"/>
    <w:rsid w:val="00812D10"/>
    <w:rsid w:val="00815C75"/>
    <w:rsid w:val="00820F5F"/>
    <w:rsid w:val="0082173C"/>
    <w:rsid w:val="008217B4"/>
    <w:rsid w:val="00822A18"/>
    <w:rsid w:val="00831EBC"/>
    <w:rsid w:val="008377AD"/>
    <w:rsid w:val="00845BD1"/>
    <w:rsid w:val="00851456"/>
    <w:rsid w:val="0085156E"/>
    <w:rsid w:val="00862151"/>
    <w:rsid w:val="00862C03"/>
    <w:rsid w:val="00863A57"/>
    <w:rsid w:val="0086696C"/>
    <w:rsid w:val="00867287"/>
    <w:rsid w:val="00871985"/>
    <w:rsid w:val="00872249"/>
    <w:rsid w:val="008859D9"/>
    <w:rsid w:val="00894913"/>
    <w:rsid w:val="008A1171"/>
    <w:rsid w:val="008A1537"/>
    <w:rsid w:val="008A3009"/>
    <w:rsid w:val="008B48F4"/>
    <w:rsid w:val="008B4F0F"/>
    <w:rsid w:val="008C299D"/>
    <w:rsid w:val="008C5F44"/>
    <w:rsid w:val="008C7222"/>
    <w:rsid w:val="008D07CF"/>
    <w:rsid w:val="008D1C49"/>
    <w:rsid w:val="008D267F"/>
    <w:rsid w:val="008D3EDB"/>
    <w:rsid w:val="008D7758"/>
    <w:rsid w:val="008E4401"/>
    <w:rsid w:val="008E51BC"/>
    <w:rsid w:val="008E7DDD"/>
    <w:rsid w:val="008F3A62"/>
    <w:rsid w:val="00904F84"/>
    <w:rsid w:val="00914618"/>
    <w:rsid w:val="00915075"/>
    <w:rsid w:val="009160C5"/>
    <w:rsid w:val="009174A5"/>
    <w:rsid w:val="0092181A"/>
    <w:rsid w:val="009219A1"/>
    <w:rsid w:val="009332FD"/>
    <w:rsid w:val="009355BF"/>
    <w:rsid w:val="00944320"/>
    <w:rsid w:val="00945C83"/>
    <w:rsid w:val="00945E24"/>
    <w:rsid w:val="00947A59"/>
    <w:rsid w:val="009549BB"/>
    <w:rsid w:val="00956857"/>
    <w:rsid w:val="009638D5"/>
    <w:rsid w:val="00963A69"/>
    <w:rsid w:val="00970680"/>
    <w:rsid w:val="0097257E"/>
    <w:rsid w:val="0098206B"/>
    <w:rsid w:val="009947E0"/>
    <w:rsid w:val="00997406"/>
    <w:rsid w:val="009A2E95"/>
    <w:rsid w:val="009C04BE"/>
    <w:rsid w:val="009C2BB9"/>
    <w:rsid w:val="009C5403"/>
    <w:rsid w:val="009C58EE"/>
    <w:rsid w:val="009C6753"/>
    <w:rsid w:val="009C6FB4"/>
    <w:rsid w:val="009C7723"/>
    <w:rsid w:val="009D1225"/>
    <w:rsid w:val="009E01C5"/>
    <w:rsid w:val="009E6543"/>
    <w:rsid w:val="009F7755"/>
    <w:rsid w:val="009F7CFF"/>
    <w:rsid w:val="00A0750B"/>
    <w:rsid w:val="00A14F57"/>
    <w:rsid w:val="00A15B91"/>
    <w:rsid w:val="00A17249"/>
    <w:rsid w:val="00A20B4A"/>
    <w:rsid w:val="00A27C7F"/>
    <w:rsid w:val="00A320F1"/>
    <w:rsid w:val="00A402B4"/>
    <w:rsid w:val="00A44B19"/>
    <w:rsid w:val="00A46F17"/>
    <w:rsid w:val="00A52C47"/>
    <w:rsid w:val="00A612DB"/>
    <w:rsid w:val="00A616D7"/>
    <w:rsid w:val="00A6446E"/>
    <w:rsid w:val="00A676C4"/>
    <w:rsid w:val="00A739CE"/>
    <w:rsid w:val="00A76033"/>
    <w:rsid w:val="00A76462"/>
    <w:rsid w:val="00A8362D"/>
    <w:rsid w:val="00A837EE"/>
    <w:rsid w:val="00A854AD"/>
    <w:rsid w:val="00A87711"/>
    <w:rsid w:val="00A90278"/>
    <w:rsid w:val="00A90CEB"/>
    <w:rsid w:val="00A930A6"/>
    <w:rsid w:val="00A930BA"/>
    <w:rsid w:val="00AA3D33"/>
    <w:rsid w:val="00AA57D8"/>
    <w:rsid w:val="00AA6EA8"/>
    <w:rsid w:val="00AB3F68"/>
    <w:rsid w:val="00AB5F96"/>
    <w:rsid w:val="00AB641C"/>
    <w:rsid w:val="00AB79BC"/>
    <w:rsid w:val="00AC20CF"/>
    <w:rsid w:val="00AC5998"/>
    <w:rsid w:val="00AC65F7"/>
    <w:rsid w:val="00AD0E5B"/>
    <w:rsid w:val="00AD6AF5"/>
    <w:rsid w:val="00AD717B"/>
    <w:rsid w:val="00AD7E1E"/>
    <w:rsid w:val="00AF1B4C"/>
    <w:rsid w:val="00B0588B"/>
    <w:rsid w:val="00B069EC"/>
    <w:rsid w:val="00B110ED"/>
    <w:rsid w:val="00B1234A"/>
    <w:rsid w:val="00B13E23"/>
    <w:rsid w:val="00B20CD5"/>
    <w:rsid w:val="00B22B76"/>
    <w:rsid w:val="00B32EA4"/>
    <w:rsid w:val="00B40D23"/>
    <w:rsid w:val="00B4499F"/>
    <w:rsid w:val="00B61FCE"/>
    <w:rsid w:val="00B672BC"/>
    <w:rsid w:val="00B8257A"/>
    <w:rsid w:val="00B93180"/>
    <w:rsid w:val="00B97522"/>
    <w:rsid w:val="00BB500E"/>
    <w:rsid w:val="00BD2DFD"/>
    <w:rsid w:val="00BE0C98"/>
    <w:rsid w:val="00BE1743"/>
    <w:rsid w:val="00BE4297"/>
    <w:rsid w:val="00BF5051"/>
    <w:rsid w:val="00BF544F"/>
    <w:rsid w:val="00C01841"/>
    <w:rsid w:val="00C01AA4"/>
    <w:rsid w:val="00C02DC0"/>
    <w:rsid w:val="00C03A53"/>
    <w:rsid w:val="00C143BB"/>
    <w:rsid w:val="00C17B3F"/>
    <w:rsid w:val="00C24F07"/>
    <w:rsid w:val="00C27C46"/>
    <w:rsid w:val="00C27FAB"/>
    <w:rsid w:val="00C30A72"/>
    <w:rsid w:val="00C3167B"/>
    <w:rsid w:val="00C36C74"/>
    <w:rsid w:val="00C37406"/>
    <w:rsid w:val="00C40DCB"/>
    <w:rsid w:val="00C43421"/>
    <w:rsid w:val="00C43935"/>
    <w:rsid w:val="00C4561B"/>
    <w:rsid w:val="00C53530"/>
    <w:rsid w:val="00C53CD0"/>
    <w:rsid w:val="00C557A5"/>
    <w:rsid w:val="00C57D2F"/>
    <w:rsid w:val="00C627B6"/>
    <w:rsid w:val="00C63EC4"/>
    <w:rsid w:val="00C67FAE"/>
    <w:rsid w:val="00C70319"/>
    <w:rsid w:val="00C74944"/>
    <w:rsid w:val="00C77163"/>
    <w:rsid w:val="00C8003D"/>
    <w:rsid w:val="00C80DAC"/>
    <w:rsid w:val="00C83119"/>
    <w:rsid w:val="00C83DF4"/>
    <w:rsid w:val="00C8489C"/>
    <w:rsid w:val="00C94B5A"/>
    <w:rsid w:val="00CA389C"/>
    <w:rsid w:val="00CA4E46"/>
    <w:rsid w:val="00CA5526"/>
    <w:rsid w:val="00CA6085"/>
    <w:rsid w:val="00CB0C98"/>
    <w:rsid w:val="00CB238F"/>
    <w:rsid w:val="00CB2779"/>
    <w:rsid w:val="00CB49D0"/>
    <w:rsid w:val="00CD2F94"/>
    <w:rsid w:val="00CD311B"/>
    <w:rsid w:val="00CD3142"/>
    <w:rsid w:val="00CE6AA0"/>
    <w:rsid w:val="00CF3897"/>
    <w:rsid w:val="00CF3D5A"/>
    <w:rsid w:val="00CF44AF"/>
    <w:rsid w:val="00CF5FF9"/>
    <w:rsid w:val="00CF7386"/>
    <w:rsid w:val="00D014E6"/>
    <w:rsid w:val="00D0558E"/>
    <w:rsid w:val="00D07263"/>
    <w:rsid w:val="00D20477"/>
    <w:rsid w:val="00D217F1"/>
    <w:rsid w:val="00D27398"/>
    <w:rsid w:val="00D27F59"/>
    <w:rsid w:val="00D303F8"/>
    <w:rsid w:val="00D3070E"/>
    <w:rsid w:val="00D31F4F"/>
    <w:rsid w:val="00D35E0C"/>
    <w:rsid w:val="00D372D7"/>
    <w:rsid w:val="00D37407"/>
    <w:rsid w:val="00D403F6"/>
    <w:rsid w:val="00D44F9E"/>
    <w:rsid w:val="00D46D73"/>
    <w:rsid w:val="00D5233C"/>
    <w:rsid w:val="00D5376D"/>
    <w:rsid w:val="00D5636E"/>
    <w:rsid w:val="00D57360"/>
    <w:rsid w:val="00D6443F"/>
    <w:rsid w:val="00D64584"/>
    <w:rsid w:val="00D80ED6"/>
    <w:rsid w:val="00D81A24"/>
    <w:rsid w:val="00D85A59"/>
    <w:rsid w:val="00D92F21"/>
    <w:rsid w:val="00D93285"/>
    <w:rsid w:val="00DA1E70"/>
    <w:rsid w:val="00DA25C4"/>
    <w:rsid w:val="00DA4351"/>
    <w:rsid w:val="00DA6EA0"/>
    <w:rsid w:val="00DB1B45"/>
    <w:rsid w:val="00DB28A6"/>
    <w:rsid w:val="00DB4C28"/>
    <w:rsid w:val="00DB6F14"/>
    <w:rsid w:val="00DC4614"/>
    <w:rsid w:val="00DC51AB"/>
    <w:rsid w:val="00DD38F7"/>
    <w:rsid w:val="00DF2A0E"/>
    <w:rsid w:val="00DF4C98"/>
    <w:rsid w:val="00DF51AB"/>
    <w:rsid w:val="00E01E13"/>
    <w:rsid w:val="00E100AA"/>
    <w:rsid w:val="00E1364D"/>
    <w:rsid w:val="00E21425"/>
    <w:rsid w:val="00E24D17"/>
    <w:rsid w:val="00E2509C"/>
    <w:rsid w:val="00E26DEF"/>
    <w:rsid w:val="00E27348"/>
    <w:rsid w:val="00E30119"/>
    <w:rsid w:val="00E34ECB"/>
    <w:rsid w:val="00E36DD1"/>
    <w:rsid w:val="00E51E1A"/>
    <w:rsid w:val="00E55139"/>
    <w:rsid w:val="00E622A4"/>
    <w:rsid w:val="00E63D7E"/>
    <w:rsid w:val="00E63F19"/>
    <w:rsid w:val="00E656FA"/>
    <w:rsid w:val="00E6728E"/>
    <w:rsid w:val="00E702C0"/>
    <w:rsid w:val="00E7381F"/>
    <w:rsid w:val="00E74509"/>
    <w:rsid w:val="00E8131A"/>
    <w:rsid w:val="00E86E9C"/>
    <w:rsid w:val="00E9020F"/>
    <w:rsid w:val="00E914AF"/>
    <w:rsid w:val="00E938E2"/>
    <w:rsid w:val="00EA10F1"/>
    <w:rsid w:val="00EA1DE7"/>
    <w:rsid w:val="00EA580A"/>
    <w:rsid w:val="00EB4E49"/>
    <w:rsid w:val="00EB73B0"/>
    <w:rsid w:val="00EE0A7B"/>
    <w:rsid w:val="00EE17DF"/>
    <w:rsid w:val="00EF04E0"/>
    <w:rsid w:val="00EF2714"/>
    <w:rsid w:val="00EF3E01"/>
    <w:rsid w:val="00EF459E"/>
    <w:rsid w:val="00EF7C14"/>
    <w:rsid w:val="00F007E3"/>
    <w:rsid w:val="00F13385"/>
    <w:rsid w:val="00F200F5"/>
    <w:rsid w:val="00F2411C"/>
    <w:rsid w:val="00F34B51"/>
    <w:rsid w:val="00F402F4"/>
    <w:rsid w:val="00F40E0B"/>
    <w:rsid w:val="00F417E9"/>
    <w:rsid w:val="00F45251"/>
    <w:rsid w:val="00F46BD8"/>
    <w:rsid w:val="00F56779"/>
    <w:rsid w:val="00F615DC"/>
    <w:rsid w:val="00F61D1A"/>
    <w:rsid w:val="00F65C5F"/>
    <w:rsid w:val="00F763E9"/>
    <w:rsid w:val="00F8014F"/>
    <w:rsid w:val="00F805D4"/>
    <w:rsid w:val="00F8500B"/>
    <w:rsid w:val="00F87159"/>
    <w:rsid w:val="00F90F58"/>
    <w:rsid w:val="00F92D59"/>
    <w:rsid w:val="00F97FB2"/>
    <w:rsid w:val="00FA175C"/>
    <w:rsid w:val="00FA4118"/>
    <w:rsid w:val="00FA5C1F"/>
    <w:rsid w:val="00FA6273"/>
    <w:rsid w:val="00FA7ED1"/>
    <w:rsid w:val="00FB05A5"/>
    <w:rsid w:val="00FB3E7C"/>
    <w:rsid w:val="00FB45F3"/>
    <w:rsid w:val="00FB5B42"/>
    <w:rsid w:val="00FC0495"/>
    <w:rsid w:val="00FC0571"/>
    <w:rsid w:val="00FC7263"/>
    <w:rsid w:val="00FC750E"/>
    <w:rsid w:val="00FD0E81"/>
    <w:rsid w:val="00FD2920"/>
    <w:rsid w:val="00FD3DCA"/>
    <w:rsid w:val="00FD4727"/>
    <w:rsid w:val="00FE2580"/>
    <w:rsid w:val="00FE7E7D"/>
    <w:rsid w:val="00FF26EA"/>
    <w:rsid w:val="00FF7A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8432"/>
  <w15:chartTrackingRefBased/>
  <w15:docId w15:val="{8C896AEB-E0F5-42C8-9B6B-33D654FC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2D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B91"/>
    <w:pPr>
      <w:tabs>
        <w:tab w:val="center" w:pos="4153"/>
        <w:tab w:val="right" w:pos="8306"/>
      </w:tabs>
    </w:pPr>
    <w:rPr>
      <w:rFonts w:asciiTheme="minorHAnsi" w:hAnsiTheme="minorHAnsi" w:cstheme="minorBidi"/>
    </w:rPr>
  </w:style>
  <w:style w:type="character" w:customStyle="1" w:styleId="HeaderChar">
    <w:name w:val="Header Char"/>
    <w:basedOn w:val="DefaultParagraphFont"/>
    <w:link w:val="Header"/>
    <w:uiPriority w:val="99"/>
    <w:rsid w:val="00A15B91"/>
  </w:style>
  <w:style w:type="paragraph" w:styleId="Footer">
    <w:name w:val="footer"/>
    <w:basedOn w:val="Normal"/>
    <w:link w:val="FooterChar"/>
    <w:uiPriority w:val="99"/>
    <w:unhideWhenUsed/>
    <w:rsid w:val="00A15B91"/>
    <w:pPr>
      <w:tabs>
        <w:tab w:val="center" w:pos="4153"/>
        <w:tab w:val="right" w:pos="8306"/>
      </w:tabs>
    </w:pPr>
    <w:rPr>
      <w:rFonts w:asciiTheme="minorHAnsi" w:hAnsiTheme="minorHAnsi" w:cstheme="minorBidi"/>
    </w:rPr>
  </w:style>
  <w:style w:type="character" w:customStyle="1" w:styleId="FooterChar">
    <w:name w:val="Footer Char"/>
    <w:basedOn w:val="DefaultParagraphFont"/>
    <w:link w:val="Footer"/>
    <w:uiPriority w:val="99"/>
    <w:rsid w:val="00A15B91"/>
  </w:style>
  <w:style w:type="character" w:styleId="Hyperlink">
    <w:name w:val="Hyperlink"/>
    <w:basedOn w:val="DefaultParagraphFont"/>
    <w:uiPriority w:val="99"/>
    <w:semiHidden/>
    <w:unhideWhenUsed/>
    <w:rsid w:val="00A15B91"/>
    <w:rPr>
      <w:color w:val="0563C1"/>
      <w:u w:val="single"/>
    </w:rPr>
  </w:style>
  <w:style w:type="paragraph" w:styleId="NormalWeb">
    <w:name w:val="Normal (Web)"/>
    <w:basedOn w:val="Normal"/>
    <w:uiPriority w:val="99"/>
    <w:semiHidden/>
    <w:unhideWhenUsed/>
    <w:rsid w:val="00CF3D5A"/>
    <w:pPr>
      <w:spacing w:before="100" w:beforeAutospacing="1" w:after="100" w:afterAutospacing="1"/>
    </w:pPr>
    <w:rPr>
      <w:lang w:eastAsia="lv-LV"/>
    </w:rPr>
  </w:style>
  <w:style w:type="character" w:customStyle="1" w:styleId="normaltextrun">
    <w:name w:val="normaltextrun"/>
    <w:basedOn w:val="DefaultParagraphFont"/>
    <w:rsid w:val="00CF3D5A"/>
  </w:style>
  <w:style w:type="paragraph" w:styleId="ListParagraph">
    <w:name w:val="List Paragraph"/>
    <w:basedOn w:val="Normal"/>
    <w:uiPriority w:val="34"/>
    <w:qFormat/>
    <w:rsid w:val="003C6430"/>
    <w:pPr>
      <w:ind w:left="720"/>
    </w:pPr>
  </w:style>
  <w:style w:type="paragraph" w:customStyle="1" w:styleId="xxmsonormal">
    <w:name w:val="x_x_msonormal"/>
    <w:basedOn w:val="Normal"/>
    <w:rsid w:val="00295366"/>
    <w:rPr>
      <w:lang w:eastAsia="lv-LV"/>
    </w:rPr>
  </w:style>
  <w:style w:type="paragraph" w:customStyle="1" w:styleId="xxmsoplaintext">
    <w:name w:val="x_xmsoplaintext"/>
    <w:basedOn w:val="Normal"/>
    <w:uiPriority w:val="99"/>
    <w:semiHidden/>
    <w:rsid w:val="006F2110"/>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43767">
      <w:bodyDiv w:val="1"/>
      <w:marLeft w:val="0"/>
      <w:marRight w:val="0"/>
      <w:marTop w:val="0"/>
      <w:marBottom w:val="0"/>
      <w:divBdr>
        <w:top w:val="none" w:sz="0" w:space="0" w:color="auto"/>
        <w:left w:val="none" w:sz="0" w:space="0" w:color="auto"/>
        <w:bottom w:val="none" w:sz="0" w:space="0" w:color="auto"/>
        <w:right w:val="none" w:sz="0" w:space="0" w:color="auto"/>
      </w:divBdr>
    </w:div>
    <w:div w:id="413479352">
      <w:bodyDiv w:val="1"/>
      <w:marLeft w:val="0"/>
      <w:marRight w:val="0"/>
      <w:marTop w:val="0"/>
      <w:marBottom w:val="0"/>
      <w:divBdr>
        <w:top w:val="none" w:sz="0" w:space="0" w:color="auto"/>
        <w:left w:val="none" w:sz="0" w:space="0" w:color="auto"/>
        <w:bottom w:val="none" w:sz="0" w:space="0" w:color="auto"/>
        <w:right w:val="none" w:sz="0" w:space="0" w:color="auto"/>
      </w:divBdr>
    </w:div>
    <w:div w:id="581791937">
      <w:bodyDiv w:val="1"/>
      <w:marLeft w:val="0"/>
      <w:marRight w:val="0"/>
      <w:marTop w:val="0"/>
      <w:marBottom w:val="0"/>
      <w:divBdr>
        <w:top w:val="none" w:sz="0" w:space="0" w:color="auto"/>
        <w:left w:val="none" w:sz="0" w:space="0" w:color="auto"/>
        <w:bottom w:val="none" w:sz="0" w:space="0" w:color="auto"/>
        <w:right w:val="none" w:sz="0" w:space="0" w:color="auto"/>
      </w:divBdr>
    </w:div>
    <w:div w:id="642076120">
      <w:bodyDiv w:val="1"/>
      <w:marLeft w:val="0"/>
      <w:marRight w:val="0"/>
      <w:marTop w:val="0"/>
      <w:marBottom w:val="0"/>
      <w:divBdr>
        <w:top w:val="none" w:sz="0" w:space="0" w:color="auto"/>
        <w:left w:val="none" w:sz="0" w:space="0" w:color="auto"/>
        <w:bottom w:val="none" w:sz="0" w:space="0" w:color="auto"/>
        <w:right w:val="none" w:sz="0" w:space="0" w:color="auto"/>
      </w:divBdr>
    </w:div>
    <w:div w:id="836849010">
      <w:bodyDiv w:val="1"/>
      <w:marLeft w:val="0"/>
      <w:marRight w:val="0"/>
      <w:marTop w:val="0"/>
      <w:marBottom w:val="0"/>
      <w:divBdr>
        <w:top w:val="none" w:sz="0" w:space="0" w:color="auto"/>
        <w:left w:val="none" w:sz="0" w:space="0" w:color="auto"/>
        <w:bottom w:val="none" w:sz="0" w:space="0" w:color="auto"/>
        <w:right w:val="none" w:sz="0" w:space="0" w:color="auto"/>
      </w:divBdr>
    </w:div>
    <w:div w:id="854459009">
      <w:bodyDiv w:val="1"/>
      <w:marLeft w:val="0"/>
      <w:marRight w:val="0"/>
      <w:marTop w:val="0"/>
      <w:marBottom w:val="0"/>
      <w:divBdr>
        <w:top w:val="none" w:sz="0" w:space="0" w:color="auto"/>
        <w:left w:val="none" w:sz="0" w:space="0" w:color="auto"/>
        <w:bottom w:val="none" w:sz="0" w:space="0" w:color="auto"/>
        <w:right w:val="none" w:sz="0" w:space="0" w:color="auto"/>
      </w:divBdr>
    </w:div>
    <w:div w:id="1051153517">
      <w:bodyDiv w:val="1"/>
      <w:marLeft w:val="0"/>
      <w:marRight w:val="0"/>
      <w:marTop w:val="0"/>
      <w:marBottom w:val="0"/>
      <w:divBdr>
        <w:top w:val="none" w:sz="0" w:space="0" w:color="auto"/>
        <w:left w:val="none" w:sz="0" w:space="0" w:color="auto"/>
        <w:bottom w:val="none" w:sz="0" w:space="0" w:color="auto"/>
        <w:right w:val="none" w:sz="0" w:space="0" w:color="auto"/>
      </w:divBdr>
    </w:div>
    <w:div w:id="1232741337">
      <w:bodyDiv w:val="1"/>
      <w:marLeft w:val="0"/>
      <w:marRight w:val="0"/>
      <w:marTop w:val="0"/>
      <w:marBottom w:val="0"/>
      <w:divBdr>
        <w:top w:val="none" w:sz="0" w:space="0" w:color="auto"/>
        <w:left w:val="none" w:sz="0" w:space="0" w:color="auto"/>
        <w:bottom w:val="none" w:sz="0" w:space="0" w:color="auto"/>
        <w:right w:val="none" w:sz="0" w:space="0" w:color="auto"/>
      </w:divBdr>
    </w:div>
    <w:div w:id="1692998336">
      <w:bodyDiv w:val="1"/>
      <w:marLeft w:val="0"/>
      <w:marRight w:val="0"/>
      <w:marTop w:val="0"/>
      <w:marBottom w:val="0"/>
      <w:divBdr>
        <w:top w:val="none" w:sz="0" w:space="0" w:color="auto"/>
        <w:left w:val="none" w:sz="0" w:space="0" w:color="auto"/>
        <w:bottom w:val="none" w:sz="0" w:space="0" w:color="auto"/>
        <w:right w:val="none" w:sz="0" w:space="0" w:color="auto"/>
      </w:divBdr>
    </w:div>
    <w:div w:id="1777599242">
      <w:bodyDiv w:val="1"/>
      <w:marLeft w:val="0"/>
      <w:marRight w:val="0"/>
      <w:marTop w:val="0"/>
      <w:marBottom w:val="0"/>
      <w:divBdr>
        <w:top w:val="none" w:sz="0" w:space="0" w:color="auto"/>
        <w:left w:val="none" w:sz="0" w:space="0" w:color="auto"/>
        <w:bottom w:val="none" w:sz="0" w:space="0" w:color="auto"/>
        <w:right w:val="none" w:sz="0" w:space="0" w:color="auto"/>
      </w:divBdr>
    </w:div>
    <w:div w:id="1937982758">
      <w:bodyDiv w:val="1"/>
      <w:marLeft w:val="0"/>
      <w:marRight w:val="0"/>
      <w:marTop w:val="0"/>
      <w:marBottom w:val="0"/>
      <w:divBdr>
        <w:top w:val="none" w:sz="0" w:space="0" w:color="auto"/>
        <w:left w:val="none" w:sz="0" w:space="0" w:color="auto"/>
        <w:bottom w:val="none" w:sz="0" w:space="0" w:color="auto"/>
        <w:right w:val="none" w:sz="0" w:space="0" w:color="auto"/>
      </w:divBdr>
    </w:div>
    <w:div w:id="1938248924">
      <w:bodyDiv w:val="1"/>
      <w:marLeft w:val="0"/>
      <w:marRight w:val="0"/>
      <w:marTop w:val="0"/>
      <w:marBottom w:val="0"/>
      <w:divBdr>
        <w:top w:val="none" w:sz="0" w:space="0" w:color="auto"/>
        <w:left w:val="none" w:sz="0" w:space="0" w:color="auto"/>
        <w:bottom w:val="none" w:sz="0" w:space="0" w:color="auto"/>
        <w:right w:val="none" w:sz="0" w:space="0" w:color="auto"/>
      </w:divBdr>
    </w:div>
    <w:div w:id="1975988768">
      <w:bodyDiv w:val="1"/>
      <w:marLeft w:val="0"/>
      <w:marRight w:val="0"/>
      <w:marTop w:val="0"/>
      <w:marBottom w:val="0"/>
      <w:divBdr>
        <w:top w:val="none" w:sz="0" w:space="0" w:color="auto"/>
        <w:left w:val="none" w:sz="0" w:space="0" w:color="auto"/>
        <w:bottom w:val="none" w:sz="0" w:space="0" w:color="auto"/>
        <w:right w:val="none" w:sz="0" w:space="0" w:color="auto"/>
      </w:divBdr>
    </w:div>
    <w:div w:id="204093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i.mk.gov.lv/book/1/chapter/12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ai.mk.gov.lv/book/1/chapter/123"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m.gov.lv/" TargetMode="External"/><Relationship Id="rId5" Type="http://schemas.openxmlformats.org/officeDocument/2006/relationships/footnotes" Target="footnotes.xml"/><Relationship Id="rId10" Type="http://schemas.openxmlformats.org/officeDocument/2006/relationships/hyperlink" Target="mailto:Sandis.Vilcans@tm.gov.lv"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10726</Words>
  <Characters>6114</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Ziemele Adricka</dc:creator>
  <cp:keywords/>
  <dc:description/>
  <cp:lastModifiedBy>Jānis Kalniņš</cp:lastModifiedBy>
  <cp:revision>18</cp:revision>
  <dcterms:created xsi:type="dcterms:W3CDTF">2018-06-25T05:20:00Z</dcterms:created>
  <dcterms:modified xsi:type="dcterms:W3CDTF">2021-09-21T07:29:00Z</dcterms:modified>
</cp:coreProperties>
</file>