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2025. –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 -2909)</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Daudzgadu līguma projektu, uzturam jau iepriekš izteikto priekšlikumu līguma preambulā iekļaut atsauci arī uz LDZ īpašnieka gaidu vēstuli (atbilstoši tam, kad tā tiks izstrādāta).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projektā (3.pielikums. Atbilstoši prognozētajiem finanšu rezultātiem, plānotajām investīciju programmām, sagaidāmās naudas plūsmas prognoze) ir norādīta negatīva LDZ naudas plūsma no 2026. gada un nav saprotams, kā tiek plānots nodrošināt LDZ maksātspēju.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02.10.2025.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02.10.2025.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