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pakalpojumu (uzņēmumu) līgumu izmaksas </w:t>
            </w:r>
            <w:r w:rsidR="00000000" w:rsidRPr="00000000" w:rsidDel="00000000">
              <w:rPr>
                <w:rtl w:val="0"/>
              </w:rPr>
              <w:t xml:space="preserve">20.1.1.</w:t>
            </w:r>
            <w:r w:rsidR="00000000" w:rsidRPr="00000000" w:rsidDel="00000000">
              <w:rPr>
                <w:rtl w:val="0"/>
              </w:rPr>
              <w:t xml:space="preserve">, </w:t>
            </w:r>
            <w:r w:rsidR="00000000" w:rsidRPr="00000000" w:rsidDel="00000000">
              <w:rPr>
                <w:rtl w:val="0"/>
              </w:rPr>
              <w:t xml:space="preserve">20.1.2.</w:t>
            </w:r>
            <w:r w:rsidR="00000000" w:rsidRPr="00000000" w:rsidDel="00000000">
              <w:rPr>
                <w:rtl w:val="0"/>
              </w:rPr>
              <w:t xml:space="preserve">, </w:t>
            </w:r>
            <w:r w:rsidR="00000000" w:rsidRPr="00000000" w:rsidDel="00000000">
              <w:rPr>
                <w:rtl w:val="0"/>
              </w:rPr>
              <w:t xml:space="preserve">20.1.4.</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apakšpunktos minēto atbalstāmo darbību īstenošanai, t.sk. licenču,aprobēšanas,tulkošanas lokalizācijas un pilotēšanas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komentārs: Lūdzam izvērtēt, vai 20.1.3.apakšpunktā norādītās atbalstāmās darbības īstenošanai arī nevarētu būt pakalpojuma līguma izmaksām. Tāpat ierosinām izmaksas, kuras minētas no 23.4. līdz 23.9.apakšpunktos, kā arī 23.11.apakšpunktā, norādīt kā 23.3.punkta apakšpunktus, jo šajos punktos norādītās izmaksas arī var būt pakalpojumu līgumu ietvaros. Papildus aicinām izvērtēt, vai 23.10. apakšpunktā norādītās izmaksas nav iekļaujamas kā 23.3.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Rancāne (FM) (Armands Eberhards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pasniedzēju, konsultantu, ekspertu un citu speciālistu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skaidrojumu izziņā, taču joprojām nav skaidrs. vai noteikumu projekta 23.4.apakšpunkā minētās izmaksas nav uzskatāmas par personāla izmaksām, kuras šobrīd ir plānots segt kā vienu pozīciju ar vienoto likmi. Skaidrojam, ka identisku izmaksu attiecināšanā jāievēro vienāda pieeja. Turklāt izziņā sniegtais skaidrojums:"Skaidrojam, ka 22.2. apakšpunktā minētās izmaksas nav uzskatāmas par sadarbības personāla izmaksām, jo sadarbības partnerim tiek piemērota likme 20% apmērā no pārējām šo noteikumu minētajām projekta tiešajām attiecināmajām īstenošanas izmaksām." nav korekts, jo tikai projekta iesniedzējam, t.i  finansējuma saņēmējam, projekta iesnieguma budžeta tāmē tiek norādīta likme personāla izmaksām, nevis sadarbības partnerim (likmes aprēķinā drīkst iekļaut projektā plānoto sadarbības partneru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izvērtējumu un pētījumu veikšanas izmaksas </w:t>
            </w:r>
            <w:r w:rsidR="00000000" w:rsidRPr="00000000" w:rsidDel="00000000">
              <w:rPr>
                <w:rtl w:val="0"/>
              </w:rPr>
              <w:t xml:space="preserve">20.2.1.</w:t>
            </w:r>
            <w:r w:rsidR="00000000" w:rsidRPr="00000000" w:rsidDel="00000000">
              <w:rPr>
                <w:rtl w:val="0"/>
              </w:rPr>
              <w:t xml:space="preserve">, </w:t>
            </w:r>
            <w:r w:rsidR="00000000" w:rsidRPr="00000000" w:rsidDel="00000000">
              <w:rPr>
                <w:rtl w:val="0"/>
              </w:rPr>
              <w:t xml:space="preserve">20.2.3.</w:t>
            </w:r>
            <w:r w:rsidR="00000000" w:rsidRPr="00000000" w:rsidDel="00000000">
              <w:rPr>
                <w:rtl w:val="0"/>
              </w:rPr>
              <w:t xml:space="preserve"> ., </w:t>
            </w:r>
            <w:r w:rsidR="00000000" w:rsidRPr="00000000" w:rsidDel="00000000">
              <w:rPr>
                <w:rtl w:val="0"/>
              </w:rPr>
              <w:t xml:space="preserve">20.2.4.</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 apakšpunktos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nepieciešama atsauce arī uz 20.2.2.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izvērtēt un precizēt anotācijas 1.3. sadaļas apakšsadaļas "Risinājuma apraksts" punktu "Informācija par mērķa grupu tiks iegūta:", skaidrojot, ka dalībnieku lapas un dalībnieku aptaujas, kas būs jāaizpilda mērķa grupai, būs finansējuma saņēmēja izstrādātas, kā tas tika skaidrots notikušajā saskaņošanas sanāksmē. Papildus vēršam uzmanību, ka Ministru kabineta 2023. gada 21. marta noteikumos Nr. 135 "Eiropas Savienības fondu projektu pārbaužu veikšanas kārtība 2021.–2027. gada plānošanas periodā" nav ietvertas dalībnieku lapas vai dalībnieku aptaujas.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Ministru kabineta 2022. gada 13. decembra sēdes protokollēmumu (prot. Nr. 64 6. § 3. punkts) ministrijām dots uzdevums, </w:t>
            </w:r>
            <w:r w:rsidR="00000000" w:rsidRPr="00000000" w:rsidDel="00000000">
              <w:rPr>
                <w:i w:val="1"/>
                <w:rtl w:val="0"/>
              </w:rPr>
              <w:t xml:space="preserve">izstrādājot Ministru kabineta noteikumu projektus par specifisko atbalsta mērķu īstenošanu, izvērtēt un, ja attiecināms, nodrošināt tiesisko ietvaru, kā arī tehnisko mehānismu, kādā finansējuma saņēmējs var pārbaudīt mērķa grupas dalībnieka atbilstību dalībai projektā, jo īpaši attiecībā uz fizisko personu datiem, kas reģistrēti valsts informācijas sistēmās un projekta īstenošanas laikā valsts informācijas sistēmās var tikt aktualizēti</w:t>
            </w:r>
            <w:r w:rsidR="00000000" w:rsidRPr="00000000" w:rsidDel="00000000">
              <w:rPr>
                <w:rtl w:val="0"/>
              </w:rPr>
              <w:t xml:space="preserve">. Ievērojot minēto, lūdzam anotācijā skaidrot, kā finansējuma saņēmējs pārliecināsies par dalībnieku atbilstību noteikumu projekta 3.1., 3.2. un 3.3. apakšpunktā minētajā mērķa grupām (piemēram, personu apliecinoši dokumenti, izziņas no valsts reģistriem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iespējas, lūdzam redakcionāli precizēt anotācijas 1.3.sadaļā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nodrošināšanai ir izvēlēts piemērot vienotā personāla izmaksu likmi līdz 20 % no tiešajām attiecināmajām izmaksām, kas neietver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21.03.2024.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21.03.2024.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