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30. novembra noteikumos Nr. 776 "Valsts un Eiropas Savienības atbalsta piešķiršanas kārtība atklātu projektu konkursa veidā pasākumā "Ieguldījumi materiālajos aktīvos" 2014.–2020. gada plānošanas perioda pārejas laikā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punktā “Risinājuma apraksts” sniegt papildu informāciju, norādot, kādas atkāpes no noteikumu 52. un 53. punktā paredzētajiem nosacījumiem vai citus specifiskus nosacījumus ZM plāno noteikt, lai nodrošinātu pilnvērtīgu Eiropas lauksaimniecības fonda lauku attīstībai 2014.–2020. gada plānošanas perioda pārejas laika 2021. un 2022. gadā pasākumā “Ieguldījumi materiālajos aktīvos” noslēguma posmā finansējuma apguvi un atbilstību Eiropas Savienības noteiktajiem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paredzēto grozījumu lūdzam norādīt, ka pasākuma “Ieguldījumi materiālajos aktīvos” atbalstāmās aktivitātes tiks īstenotas Eiropas lauksaimniecības fonda lauku attīstībai 2014.–2020. gada plānošanas perioda pārejas laika 2021. un 2022. gadā piešķirtā budžeta ietvaros, tai skaitā šādu informāciju sniedzot arī anotācijas 3.sadaļas punktā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25</w:t>
            </w:r>
            <w:r w:rsidR="00000000" w:rsidRPr="00000000" w:rsidDel="00000000">
              <w:rPr>
                <w:rtl w:val="0"/>
              </w:rPr>
              <w:t xml:space="preserve"> Lēmumu par projekta iesnieguma apstiprināšanu saskaņā ar Komisijas regulu Nr.  </w:t>
            </w:r>
            <w:r w:rsidR="00000000" w:rsidRPr="00000000" w:rsidDel="00000000">
              <w:rPr>
                <w:rtl w:val="0"/>
              </w:rPr>
              <w:t xml:space="preserve">651/2014</w:t>
            </w:r>
            <w:r w:rsidR="00000000" w:rsidRPr="00000000" w:rsidDel="00000000">
              <w:rPr>
                <w:rtl w:val="0"/>
              </w:rPr>
              <w:t xml:space="preserve"> pieņem līdz 2023.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ietvertajai informācijai, projektu iesniegšanas noslēdzošās kārtas ir plānotas vēl 2025.gada 3.ceturksnī. Savukārt, attiecībā uz apakšpasākumu "Atbalsts ieguldījumiem pārstrādē" saskaņā ar noteikumu 43.</w:t>
            </w:r>
            <w:r w:rsidR="00000000" w:rsidRPr="00000000" w:rsidDel="00000000">
              <w:rPr>
                <w:vertAlign w:val="superscript"/>
                <w:rtl w:val="0"/>
              </w:rPr>
              <w:t xml:space="preserve">25</w:t>
            </w:r>
            <w:r w:rsidR="00000000" w:rsidRPr="00000000" w:rsidDel="00000000">
              <w:rPr>
                <w:rtl w:val="0"/>
              </w:rPr>
              <w:t xml:space="preserve"> punktu, "Lēmumu par projekta iesnieguma apstiprināšanu saskaņā ar Komisijas regulu Nr. 651/2014 pieņem līdz 2023. gada 31. decembrim.". Ņemot vērā iepriekš minēto, gadījumā, ja nav plānots atbalstu sniegt apakšpasākumā "Atbalsts ieguldījumiem pārstrādē", lūdzam anotācijā sniegt atbilstošu skaidrojumu, ka atbalsts apakšpasākumā "Atbalsts ieguldījumiem pārstrādē" tika sniegts līdz 2023. gada 31. decembrim un jauna atbalsta piešķiršana nav plānota.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Turpretī, ja apakšpasākumā "Atbalsts ieguldījumiem pārstrādē" ir plānots sniegt atbalstu, lūdzam precizēt noteikumu 43.</w:t>
            </w:r>
            <w:r w:rsidR="00000000" w:rsidRPr="00000000" w:rsidDel="00000000">
              <w:rPr>
                <w:vertAlign w:val="superscript"/>
                <w:rtl w:val="0"/>
              </w:rPr>
              <w:t xml:space="preserve">25</w:t>
            </w:r>
            <w:r w:rsidR="00000000" w:rsidRPr="00000000" w:rsidDel="00000000">
              <w:rPr>
                <w:rtl w:val="0"/>
              </w:rPr>
              <w:t xml:space="preserve"> punktu, nosakot jaunu lēmuma par projekta iesnieguma apstiprināšanu termiņu, nepārkāpjot Komisijas regulas Nr. 651/2014 58. panta 4.punktā un 59.pantā noteikto termiņu. Vienlaikus šajā gadījumā, ņemot vērā, ka shēmas darbības termiņš, kas paziņots Eiropas Komisijā ir beidzies (08.11.2022 - 31.12.2023),  lūdzam papildināt anotāciju ar informāciju, ka Zemkopības ministrija 20 darba dienu laikā pēc grozījumu spēkā stāšanās iesniegs kopsavilkuma informāciju Eiropas Komisijā, izmantojot SANI2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13</w:t>
            </w:r>
            <w:r w:rsidR="00000000" w:rsidRPr="00000000" w:rsidDel="00000000">
              <w:rPr>
                <w:rtl w:val="0"/>
              </w:rPr>
              <w:t xml:space="preserve"> Atbalsta pretendents iesniedz apliecinājumu par Komisijas Regulas Nr.  </w:t>
            </w:r>
            <w:r w:rsidR="00000000" w:rsidRPr="00000000" w:rsidDel="00000000">
              <w:rPr>
                <w:rtl w:val="0"/>
              </w:rPr>
              <w:t xml:space="preserve">651/2014</w:t>
            </w:r>
            <w:r w:rsidR="00000000" w:rsidRPr="00000000" w:rsidDel="00000000">
              <w:rPr>
                <w:rtl w:val="0"/>
              </w:rPr>
              <w:t xml:space="preserve"> 14. panta 16. punktā ietvertā nosacījuma ievērošanu, apstiprinot, ka pēdējo divu gadu laikā pirms pieteikšanās uz atbalstu to nav pārcēlis uz uzņēmējdarbības vietu, kurā tiks īstenots sākotnējais ieguldījums, kam pieprasīts atbalsts, un apņemas to nedarīt divus gadus pēc tam, kad ir pabeigts sākotnējais ieguldījums, kam tiek pieprasīts atbalsts. Atbalstu nepiešķir Komisijas regulas Nr.  </w:t>
            </w:r>
            <w:r w:rsidR="00000000" w:rsidRPr="00000000" w:rsidDel="00000000">
              <w:rPr>
                <w:rtl w:val="0"/>
              </w:rPr>
              <w:t xml:space="preserve">651/2014</w:t>
            </w:r>
            <w:r w:rsidR="00000000" w:rsidRPr="00000000" w:rsidDel="00000000">
              <w:rPr>
                <w:rtl w:val="0"/>
              </w:rPr>
              <w:t xml:space="preserve"> 1. panta 4. punkta "a" apakšpunktā minētajos gadījumos, kā arī tad, ja atbalsta saņēmējs nevar apliecināt Komisijas regulas Nr.  </w:t>
            </w:r>
            <w:r w:rsidR="00000000" w:rsidRPr="00000000" w:rsidDel="00000000">
              <w:rPr>
                <w:rtl w:val="0"/>
              </w:rPr>
              <w:t xml:space="preserve">651/2014</w:t>
            </w:r>
            <w:r w:rsidR="00000000" w:rsidRPr="00000000" w:rsidDel="00000000">
              <w:rPr>
                <w:rtl w:val="0"/>
              </w:rPr>
              <w:t xml:space="preserve"> 14. panta 16. punktā ietvertā nosacījuma ievērošanu. Pārcelšana atbilst Komisijas regulas Nr.  </w:t>
            </w:r>
            <w:r w:rsidR="00000000" w:rsidRPr="00000000" w:rsidDel="00000000">
              <w:rPr>
                <w:rtl w:val="0"/>
              </w:rPr>
              <w:t xml:space="preserve">651/2014</w:t>
            </w:r>
            <w:r w:rsidR="00000000" w:rsidRPr="00000000" w:rsidDel="00000000">
              <w:rPr>
                <w:rtl w:val="0"/>
              </w:rPr>
              <w:t xml:space="preserve"> 2. panta 61. "a" apakšpunktā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regulas Nr. 651/2014 1. panta 4. punkta un 2. panta 18. punkta nosacījumi ir jāvērtē/jāpiemēro uzņēmuma grupas līmenī, jo Komisijas regulas Nr. 651/2014 angliskajā versijā nosacījumi, kas ir attiecināmi uz “undertaking”, ir jāpārbauda/jāpiemēro uzņēmuma grupas līmenī. Ņemot vērā iepriekš minēto, lūdzam precizēt noteikumu 43.</w:t>
            </w:r>
            <w:r w:rsidR="00000000" w:rsidRPr="00000000" w:rsidDel="00000000">
              <w:rPr>
                <w:vertAlign w:val="superscript"/>
                <w:rtl w:val="0"/>
              </w:rPr>
              <w:t xml:space="preserve">13 </w:t>
            </w:r>
            <w:r w:rsidR="00000000" w:rsidRPr="00000000" w:rsidDel="00000000">
              <w:rPr>
                <w:rtl w:val="0"/>
              </w:rPr>
              <w:t xml:space="preserve">punktu un pēc analoģijas arī - 43.</w:t>
            </w:r>
            <w:r w:rsidR="00000000" w:rsidRPr="00000000" w:rsidDel="00000000">
              <w:rPr>
                <w:vertAlign w:val="superscript"/>
                <w:rtl w:val="0"/>
              </w:rPr>
              <w:t xml:space="preserve">14 </w:t>
            </w:r>
            <w:r w:rsidR="00000000" w:rsidRPr="00000000" w:rsidDel="00000000">
              <w:rPr>
                <w:rtl w:val="0"/>
              </w:rPr>
              <w:t xml:space="preserve">punktu, papildinot šos punktus ar nosacījumu, ka atbalsta saņēmējs/pretendents tiek vērtēts uzņēmuma grupas līmenī.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25-TA-1981</w:t>
    </w:r>
    <w:r>
      <w:br/>
    </w:r>
    <w:r w:rsidR="00000000" w:rsidRPr="00000000" w:rsidDel="00000000">
      <w:rPr>
        <w:rtl w:val="0"/>
      </w:rPr>
      <w:t xml:space="preserve">Izdrukāts 27.08.2025.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25-TA-1981</w:t>
    </w:r>
    <w:r>
      <w:br/>
    </w:r>
    <w:r w:rsidR="00000000" w:rsidRPr="00000000" w:rsidDel="00000000">
      <w:rPr>
        <w:rtl w:val="0"/>
      </w:rPr>
      <w:t xml:space="preserve">Izdrukāts 27.08.2025.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Atzinumi_25-TA-1981.docx</dc:title>
</cp:coreProperties>
</file>

<file path=docProps/custom.xml><?xml version="1.0" encoding="utf-8"?>
<Properties xmlns="http://schemas.openxmlformats.org/officeDocument/2006/custom-properties" xmlns:vt="http://schemas.openxmlformats.org/officeDocument/2006/docPropsVTypes"/>
</file>