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22-TA-2145: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Vienotās digitālās vārtejas regulas prasību ieviešanu 2021.-2022. gadā”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22-TA-2145</w:t>
    </w:r>
    <w:r>
      <w:br/>
    </w:r>
    <w:r w:rsidR="00000000" w:rsidRPr="00000000" w:rsidDel="00000000">
      <w:rPr>
        <w:rtl w:val="0"/>
      </w:rPr>
      <w:t xml:space="preserve">Izdrukāts 21.08.2023. 18.30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22-TA-2145</w:t>
    </w:r>
    <w:r>
      <w:br/>
    </w:r>
    <w:r w:rsidR="00000000" w:rsidRPr="00000000" w:rsidDel="00000000">
      <w:rPr>
        <w:rtl w:val="0"/>
      </w:rPr>
      <w:t xml:space="preserve">Izdrukāts 21.08.2023. 18.30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