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10.pantā  paredzētā regulējuma vienveidīgas un nepārprotamas piemērošanas labad ir nepieciešams noteikt arī šīs normas piemērošanas kārtību, it īpaši tādēļ, ka jau šobrīd ir konstatētas situācijas, kad pasūtītājs (valsts SIA “Autotransporta direkcija”) pārvadātājiem nezināmu un neizskaidrotu iemeslu dēļ vienpusēji maina līgumos noteikto līgumsodu līdzšinējo piemērošanas praksi jau spēkā esošajos izpildāmos līgumos, kā arī ir vērojama atšķirīgu līgumsodu nosacījumu iekļaušana, grozot vai noslēdzot jaunus pārvadājumu līgumus, neskatoties uz to, ka valsts pārvaldei nav iespējama tāda līguma brīvība kā civiltiesībās, aicinām precizējoši papildināt likumprojektu ar 17.pantu.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Papildināt pārejas noteikumus ar 37. punktu šādā redakcijā:“37. Šā likuma 15. panta 9. apakšpunktu var piemērot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un pilsētas nozīmes maršrutu tīklā esošajos transporta veidos – autobusā, vilcienā,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likumprojekta 1.punktā ietverto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Arī atbilstoši precizētajai definīcijai ar šo grozījumu spēkā stāšanos visas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 punktā ietverto vienotās biļetes definīciju, aiz vārdiem “un maršrutos” pievienojot iekavās vārdus “izņemot viena pārvadātāja biļetes savā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iebildumus par piedāvāto risinājumu 14.1 panta 2.2 daļas pirmajam teikumam, jo, neskatoties uz arī iepriekš LDDK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iepriekš ir norādījusi, ka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(Izziņas 73. un 100.punkts), Likumprojekta izvērtēšanā ņemts vērā RP SIA “Rīgas satiksme” iebildums, ka bērniem līdz 15 gadu vecumam personas apliecības saņemšana nav obligāta, tādēļ viņi varēs savu braukšanas maksas atvieglojumu izmantot, pilsētas nozīmēs maršrutos, reģistrējot pārvadātāja identifikācijas līdzekli, līdz ar to eventuāli attiecībā uz RP SIA “Rīgas satiksme” to braukšanas maksas atvieglojumu izmantošanas reižu skaits, kas netiks veiktas ar RP SIA “Rīgas satiksme” identifikācijas līdzekļiem,  būs vēl mazāks par 20 tūkstošiem braucienu mēnesī un attiecīgi izmaksas par katra šāda brauciena identifikāciju un uzskaiti – proporcionāli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LDDK iebildums ņemts vērā daļēji tādejādi, ka atbilstoši Sabiedriskā transporta pakalpojumu likuma pārejas noteikumu 33.punktā noteiktajam personas apliecība braukšanas maksas atvieglojumu saņemšanai turpmāk būs obligāti nepieciešama arī personām, kurām atbilstoši Personu apliecinošu dokumentu likumā (9.panta pirmajā daļā un pārejas noteikumu 5.punktā) noteiktajam “eID kartes saņemšana nav obligāta, tostarp, bērniem līdz 15 gadu vecumam” (skatīt. Izziņas 73. un 100.punkts).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risinājums nav bērnu labākajās interesēs, kā tam būtu jābūt atbilstoši Satversmes 110.pantam un Bērnu tiesību aizsardzības likuma 6.panta pirmajā daļā noteiktajam, ka tiesiskajās attiecībās, kas skar bērnu, bērna tiesības un intereses ir prioritāras. Lai arī LDDK nav kompetentā institūcija, kurai būtu jāuzrauga bērnu interešu ievērošana, atkārtoti vēršam uzmanību, ka pēc RP SIA “Rīgas satiksme” pieredzes bērni biežāk nekā citi pasažieri zaudē savus elektroniskās identifikācijas līdzekļus (e-talonus).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invertējumu par iespējamām sekām un iespējām risināt problēmas, kādas varētu iestāties, bērniem nozaudējot savas personas apliecības, tajā skaitā drošības riskus, piemēram, bērna nolaupīšanas gadījumā, ja bērnam līdzi ir personas apliecība, kas ir izceļošanai no valsts derīgs dokuments, kā arī, vai, izmantojot reģionālo transportu nokļūšanai uz izglītības iestādi, bērnam, personas apliecības nozaudēšanas gadījumā netiks faktiski liegtas iespējas saņemt obligāto izglītību, jo nebūs iespēja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LDDK joprojām kopumā uztur iebildumus pret personas apliecību kā valsts braukšanas maksas atvieglojumu piemērošanas identifikācijas līdzekli valstspilsētu, kuras ir ieviesušas savus elektroniskās identifikācijas līdzekļus, obligātu ieviešanu. Kā jau iepriekš vairākkārtīgi norādījām, Likumprojekta izziņā un anotācijā šādai iecerei un finansiālai ietekmei uz valstspilsētas pašvaldības budžetu joprojām nav sniegts pietiekams ekonomiskais ieguvumu izvērtējums un pamatojums, un fakts, ka šī ideja ir radusies jau 2015. gadā nav un nevar būt pietiekams pamatojums ievērojamu finanšu līdzekļu ieguldījumam sistēmā, kas RP SIA “Rīgas satiksme” nav nepieciešama, kā arī šādi izdevumi RP SIA “Rīgas satiksme” ieskatā joprojām nav lietderīgi un samērīgi. It īpaši būtiski un kritiski tas šķiet kontekstā ar 2024.gada 1.augusta izziņas 18.punktā norādīto par Eiropas invaliditātes kartes digitālā versijas nodrošināšanu, kas būs iespējama caur Eiropas digitālo maku prognozējoši 2026.gada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likumprojekta “Grozījumi Sabiedriskā transporta pakalpojumu likumā” (23-TA1533) anotācijā minētā informācija, kas paskaidro 17.panta trešās daļas un pārejas noteikumu 35.punka nepieciešamību, daļēji neatbilst normu regulējumam un tāpēc aicina salāgot anotācijā norādīto informāciju ar normu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