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Kārtību, kādā īstenojama tehnisko līdzekļu, tai skaitā videonovērošanas, lietošana un šo tehnisko līdzekļu lietošanas rezultātā iegūto personas datu apstrādes nosacījumus nosaka Valsts vides dienesta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citastarp ietverta norma, kas paredz likuma 21. panta  1.</w:t>
            </w:r>
            <w:r w:rsidR="00000000" w:rsidRPr="00000000" w:rsidDel="00000000">
              <w:rPr>
                <w:vertAlign w:val="superscript"/>
                <w:rtl w:val="0"/>
              </w:rPr>
              <w:t xml:space="preserve">1</w:t>
            </w:r>
            <w:r w:rsidR="00000000" w:rsidRPr="00000000" w:rsidDel="00000000">
              <w:rPr>
                <w:rtl w:val="0"/>
              </w:rPr>
              <w:t xml:space="preserve"> daļā noteikt, ka kārtību, kādā īstenojama tehnisko līdzekļu, tai skaitā videonovērošanas, lietošana un šo tehnisko līdzekļu lietošanas rezultātā iegūto personas datu apstrādes nosacījumus nosaka Valsts vides dienesta nolikumā. Vienlaikus likumprojekta 14. pants paredz likuma 24. panta ceturtajā daļā noteikt divas kompetentās iestādes (Valsts vides dienestu un Dabas aizsardzības pārvaldi) attiecībā uz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abām kompetentām iestādēm skaidru regulējumu attiecībā uz videonovērošanas veikšanu un tā rezultātā iegūto personas datu apstrādi, lūdzam precizēt likumprojekta 12. pantā ietverto deleģējumu, uzdodot abām kompetentām iestādēm minēto apstrādi regulēt šo iestāžu nolikumos. Tāpat lūdzam papildināt anotācijas 4.1. apakšpunktu ar informāciju par plānotajiem grozījumiem Dabas aizsardzības pārvaldes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19.03.2025.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19.03.2025.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