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Patvertņu būvnormatīvs LBN 210-25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Patvertņu konstrukciju aprēķinus veic atbilstoši Eirokodeksa standartos dotajai aprēķinu metodikai avārijas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27. punktā iekļauto atsauci uz Eirokodeksa standartu, ņemot vērā Ministru kabineta 2009. gada 3. februāra noteikumu Nr. 108 "Normatīvo aktu projektu sagatavošanas noteikumi" 5. nodaļas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1.3. sadaļas "Risinājuma apraksts" terminus un to skaidrojumu iekļaut projektā, kā to paredz Ministru kabineta 2009. gada 3. februāra noteikumu Nr. 108 "Normatīvo aktu projektu sagatavošanas noteikumi" 3.4.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29.1. apakšpunktā noteiktais minimālais ārsienas biezums nav attiecināms gadījumā, ja aizsardzību no šķembām nodrošina divas ar atstarpi izveidotās sienas. Šajā gadījumā jānodrošina summārais sienu biezums.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punktā iekļauto iekšējo atsauci, ņemot vērā, ka projektā nav 29.1.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16.04.2025.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16.04.2025.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Atzinumi_22-TA-2684.docx</dc:title>
</cp:coreProperties>
</file>

<file path=docProps/custom.xml><?xml version="1.0" encoding="utf-8"?>
<Properties xmlns="http://schemas.openxmlformats.org/officeDocument/2006/custom-properties" xmlns:vt="http://schemas.openxmlformats.org/officeDocument/2006/docPropsVTypes"/>
</file>