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likumā “Par valsts budžetu 2025.gadam un budžeta ietvaru 2025., 2026. un 2027.gadam” noteiktajiem Veselības ministrijas kapitālsabiedrību kopējo personāla izmaksu ierobežojumiem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sabiedrībai ar ierobežotu atbildību “Latvijas Digitālās veselības centrs”, ņemot vērā Ministru Kabineta 2024. gada 28. jūlija rīkojumu Nr.623 “Par Veselības ministrijas padotībā esošās valsts pārvaldes iestādes – Nacionālā veselības dienesta – reorganizāciju” un Ministru Kabineta 2024. gada 23. jūlija sēdes protokola Nr. 30 38.§ 3. un 4.punktā noteikto, lai Nacionālā veselības dienesta reorganizācijas rezultātā sabiedrība ar ierobežotu atbildību "Latvijas Digitālās veselības centrs" nodrošinātu tai deleģētās valsts funkcijas – īstenot e-veselības politiku, finansējums kopējām personāla izmaksām 2025.gadā pret 2024.gadu kopējā atlīdzības fondā palielinās par 98,7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“Pašreizējā situācija, problēmas un risinājumi” punktā “Problēmas apraksts” norādīto, ka līdz 2024.gada beigām SIA “Latvijas digitālās veselības centrs” tika veikti tikai saimnieciski organizatoriski pasākumi kapitālsabiedrības darbības uzsākšanai, t.sk. darba tiesisko attiecību nodibināšanas piedāvājumu izteikšana un darba tiesisko attiecību nodibināšana ar darbiniekiem, kuru funkciju izpilde Nacionālajā veselības dienestā (turpmāk – Dienests) bija tieši saistīta ar kapitālsabiedrībai deleģēto funkciju izpildi, savukārt faktiskā saimnieciskā darbība tika uzsākta tikai 2025.gada 1.janvārī, pārņemot Dienesta funkcijas, uzskatām, ka nav objektīvi piemērot personāla izmaksu salīdzinājumu ar iepriekšējo periodu, tādējādi likuma “Par valsts budžetu 2025.gadam un budžeta ietvaru 2025., 2026. un 2027.gadam” 82.pantā 2025.gadā noteiktais personāla izmaksu pieauguma ierobežojums 2,6% apmērā salīdzinājumā ar iepriekšējo gadu nav attiecināms uz šo kapitālsabiedrību. Līdz ar to precizējams rīkojuma projekta 9.punkts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informāciju par kapitālsabiedrību radīto papildus ietekmi uz vispārējās valdības budžeta bilanci, gadījumā, ja atbilstoši likuma “Par valsts budžetu 2025. gadam un budžeta ietvaru 2025., 2026. un 2027. gadam” 82. pantam Ministru kabinets atļaus palielināt kopējās personāla izmaksas vairāk kā par 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gada 5. jūnijā Finanšu ministrija ir nosūtījusi Veselības ministrijai vēstuli “Par vispārējās valdības budžeta prognozēm 2025.-2029. gadam”, kurā lūdz līdz 2025. gada 25. jūnijam iesniegt aktualizētas ieņēmumu un izdevumu prognozes 2025.-2029. gadam un 2024. gada izpildes datus par Veselības ministrijas pārraudzībā esošajām vispārējās valdības institucionālajā sektorā iekļautajām kapitālsabiedrībām. Attiecīgi lūdzam papildināt rīkojuma projekta anotāciju, norādot kā mainīsies rīkojuma projektā norādīto valsts kapitālsabiedrību ietekme uz vispārējās valdības budžeta bilanci, ja Ministru kabinets atļaus palielināt kopējās personāla izmaksas vairāk kā par 2,6%, salīdzinot to ar informāciju, kas bija jāiesniedz Finanšu ministrijai līdz 2025. gada 25.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Informatīvos nolūkos lūgums norādīt kā mainītos ietekme uz vispārējās valdības budžeta bilanci, ja tiktu paaugstinātas personāla izmaksas virs 2,6%, salīdzinot to ar ietekmi uz vispārējās valdības budžeta bilanci, kuru kapitālsabiedrības iesniedza Valsts kases e-pakalpojumu sistēmā “ePārskati” šī gada februārī/martā.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 VSIA “Bērnu klīniskā universitātes slimnīca”, VSIA “Traumatoloģijas un ortopēdijas slimnīca”, VSIA “Nacionālais rehabilitācijas centrs “Vaivari””, VSIA “Strenču psihoneiroloģiskā slimnīca”, VSIA “Slimnīca “Ģintermuiža””, VSIA “Piejūras slimnīca”, VSIA “Bērnu psihoneiroloģiskā slimnīca “Ainaži”” un SIA “Latvijas digitālās veselības centrs” ir vispārējās valdības sektorā iekļautās kapitālsabiedrības, kuras ar savu saimniecisko darbību ietekmē vispārējās valdības budžeta deficītu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iekļautās tabulas ailē “2025.gada plāns” pie atlīdzības finansēšanas avota “valsts budžeta līdzekļi” lietot atsauci, norādot, ka finansējums norādīts atbilstoši likumā “Par valsts budžetu 2025.gadam un budžeta ietvaru 2025., 2026. un 2027.gadam” plānotajam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1.pielikuma devītajā darblapā precizēt tabulā SIA “Latvijas digitālās veselības centrs” sniegto informāciju par atlīdzību sadalījumā pa amatu grupām, jo norādītais atlīdzību apmērs nesakrīt ar augstāk tabulā norādīto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1.pielikuma astotajā darblapā precizēt tabulā VSIA “Bērnu psihoneiroloģiskā slimnīca “Ainaži”” sniegto informāciju par atlīdzību sadalījumā pa amatu grupām, jo norādītais atlīdzību apmērs nesakrīt ar augstāk tabulā norādīto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iekļautās tabulas ailē “izmaiņas, %” piemērot vienādu principu informācijas atspoguļošanai.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25.06.2025.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25.06.2025.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Atzinumi_25-TA-1018.docx</dc:title>
</cp:coreProperties>
</file>

<file path=docProps/custom.xml><?xml version="1.0" encoding="utf-8"?>
<Properties xmlns="http://schemas.openxmlformats.org/officeDocument/2006/custom-properties" xmlns:vt="http://schemas.openxmlformats.org/officeDocument/2006/docPropsVTypes"/>
</file>