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23-TA-2923: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460 "Eiropas Savienības Atveseļošanas un noturības mehānisma plāna 1.2. reformu un investīciju virziena "Energoefektivitātes uzlabošana" 1.2.1.1.i. investīcijas "Daudzdzīvokļu māju energoefektivitātes uzlabošana un pāreja uz atjaunojamo energoresursu tehnoloģiju izmantošanu"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Lēmumi par atbalsta piešķiršanu saskaņā ar regulu Nr. </w:t>
            </w:r>
            <w:r w:rsidR="00000000" w:rsidRPr="00000000" w:rsidDel="00000000">
              <w:rPr>
                <w:rtl w:val="0"/>
              </w:rPr>
              <w:t xml:space="preserve">1407/2013</w:t>
            </w:r>
            <w:r w:rsidR="00000000" w:rsidRPr="00000000" w:rsidDel="00000000">
              <w:rPr>
                <w:rtl w:val="0"/>
              </w:rPr>
              <w:t xml:space="preserve"> netiek pieņemti pēc regulas Nr. 1407/2013 darbības beigām.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 punktā atsaukties uz attiecīgās regulas 7. panta 4. punktu un 8. pantu, tādējādi atvieglojot noteikumu projekta piemērošanu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23-TA-2923</w:t>
    </w:r>
    <w:r>
      <w:br/>
    </w:r>
    <w:r w:rsidR="00000000" w:rsidRPr="00000000" w:rsidDel="00000000">
      <w:rPr>
        <w:rtl w:val="0"/>
      </w:rPr>
      <w:t xml:space="preserve">Izdrukāts 27.11.2023. 09.01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23-TA-2923</w:t>
    </w:r>
    <w:r>
      <w:br/>
    </w:r>
    <w:r w:rsidR="00000000" w:rsidRPr="00000000" w:rsidDel="00000000">
      <w:rPr>
        <w:rtl w:val="0"/>
      </w:rPr>
      <w:t xml:space="preserve">Izdrukāts 27.11.2023. 09.01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Atzinumi_23-TA-2923.docx</dc:title>
</cp:coreProperties>
</file>

<file path=docProps/custom.xml><?xml version="1.0" encoding="utf-8"?>
<Properties xmlns="http://schemas.openxmlformats.org/officeDocument/2006/custom-properties" xmlns:vt="http://schemas.openxmlformats.org/officeDocument/2006/docPropsVTypes"/>
</file>