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izglītības attīstības aģentūras nosaukuma maiņu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norāda, ka virzot uz priekšu šo četru iestāžu reorganizāciju, bez nopietnas konsultācijas ar nozares organizācijām un ekspertiem par tā nepieciešamību/ietekmi uz nozares darbību, IZM tai skaitā atkāpjas no NVO un MK sadarbības memoranda principiem. Organizāciju un nozares iesaiste tikai pie reformu ieviešanas, nav līdzvērtīga iesaistei pie to izstrādes un nepieciešamības izvērtēšanas.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LIZDA un LJP aicinot šo jautājumu skatīt saskaņošanas sanāksmē un Jaunatnes konsultatīvajā padomē pirms jautājuma tālākas virzības,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Aleksandrs Strods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18.07.2024. 22.26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18.07.2024. 22.26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Atzinumi_24-TA-1725.docx</dc:title>
</cp:coreProperties>
</file>

<file path=docProps/custom.xml><?xml version="1.0" encoding="utf-8"?>
<Properties xmlns="http://schemas.openxmlformats.org/officeDocument/2006/custom-properties" xmlns:vt="http://schemas.openxmlformats.org/officeDocument/2006/docPropsVTypes"/>
</file>