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fondēto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fondēto pensiju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fondēto pensiju shēmas līdzekļu pārvaldītāju atlīdzības samazināšanu, kā to paredz Likumprojekts un Noteikumu projekts, būtu nepieciešama arī Likuma 12. panta turpmāka, pārdomāta attīstība, lai radītu priekšnoteikumus sekmīgu ieguldījumu veikšanai Latvijā un nodrošinātu Latvijas kapitāla tirgus tālāku attīstību, paturot prātā, ka nav pieļaujama tiešu nesamērīgu ierobežojumu uzlikšana brīvai kapitāla apritei. Balstoties uz iepriekš minēto, EM, sadarbībā ar nozares sniegto informāciju (LVCA) uzskata, ka šāds mērķis būtu pakāpeniski sasniedzams izstrādājot vēlamo (nesaistošu) nacionālo ieguldījumu apjomu un paplašinot informēšanas pienākumu.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vienoties ar nozari par nepieciešamiem grozījumiem likumprojektā.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Baltābola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fondēto pensiju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lielo līdzekļu pārvaldītāju atlīdzības samazināšanu. Šāds priekšlikums stimulēs pensiju pārvaldniekus samazināt savas darbības izmaksas un izvēlēties ieguldījumus ārvalstu finanšu instrumentos, kas ir viegli pieejami un kuru transakciju izmaksas ir zemas (ieguldījumi Latvijā prasa lielākus darbaspēka un finanšu resursus kā līdzvērtīgi ieguldījumi, piemēram, ASV vai Lielbritānijā kotētos finanšu instrumentos). Rezultātā tiks sekmēta vēl lielāka kapitāla aizplūde no Latvijas, pretēji pensiju plānu dalībnieku ilgtermiņa interesēm. Ir veicināma līdzekļu ieguldīšana MVU un tādos Alternatīvo Ieguldījumu Fondos (AIF), kuru parakstītais kapitāls nepārsniedz EUR 500. Līdz ar to EM sadarbībā ar nozari (LVCA) ierosina Likumā un Noteikumos ieviest samērīgus motivējošus mehānismus, kas mudinātu pārvaldītājus izskatīt un izmantot ieguldījumu iespējas arī tādos kapitāla tirgus segmentos un instrumentos, kas ietver augstākas izvērtēšanas un uzraudzības izmaksas, bet sniedz būtisku tiešu un netiešu (multiplicējošu) pozitīvu efektu vietējās ekonomikas attīstībai.Ierosinām paredzēt tiesības pārvaldītājam palielināt atlīdzības pastāvīgo daļu proporcionāli veiktajiem ieguldījumiem šādos instrumentos.Lūgums šo risinājumu grozījumos saskaņot ar nozari (LVCA).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Baltābola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fondēto pensiju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Atbilstoši jau šobrīd Likumā pastāvošajam regulējumam, kuru plānots saglabāt arī pēc Likumprojekta  pieņemšanas, maksājumu par ieguldījumu plāna pārvaldi veido fiksētā daļa un mainīgā daļa. Likumā (precizējot to ar Likumprojektu) ir noteikta fiksētā daļa, bet mainīgā daļa tiek regulēta Noteikumu līmenī.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un nozare atbalsta šādu pieeju, tomēr vēlas norādīt, ka, tā kā atskaites indeksu noteikšana deleģēta Noteikumu regulējumam, tad, lai saglabātu konsekventu tiesību normu hierarhiju šajā jautājumā, arī indeksu kombinācijas būtu regulējama tikai Noteikumu līmenī.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Tāpat arī Likuma regulējuma līmenī jāsaglabā vispārīga pieeja, jo mainoties tirgus tendencēm var tikt izstrādāti indeksi, kas nav tikai parāda un kapitāla vērtspapīru indeksi, līdz ar to, nosakot, ka indeksi un indeksu kombinācijas tiek regulētas Noteikumu līmenī, tiek saglabāts esošais princips, bet netiek iekļauti ierobežojumi attiecībā uz indeksu kombinācijām un jaunu indeksu veidu ieviešanu.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vienoties ar nozari par iespējamo risinājumu grozījumu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Baltābola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22.11.2024. 21.46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22.11.2024. 21.46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Atzinumi_24-TA-936.docx</dc:title>
</cp:coreProperties>
</file>

<file path=docProps/custom.xml><?xml version="1.0" encoding="utf-8"?>
<Properties xmlns="http://schemas.openxmlformats.org/officeDocument/2006/custom-properties" xmlns:vt="http://schemas.openxmlformats.org/officeDocument/2006/docPropsVTypes"/>
</file>