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7. janvāra noteikumos Nr. 14 "Nevalstisko organizāciju un Ministru kabineta sadarbības memoranda īstenošanas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24.</w:t>
            </w:r>
            <w:r w:rsidR="00000000" w:rsidRPr="00000000" w:rsidDel="00000000">
              <w:rPr>
                <w:rtl w:val="0"/>
              </w:rPr>
              <w:t xml:space="preserve"> punktā</w:t>
            </w:r>
            <w:r w:rsidR="00000000" w:rsidRPr="00000000" w:rsidDel="00000000">
              <w:rPr>
                <w:rtl w:val="0"/>
              </w:rPr>
              <w:t xml:space="preserve"> minētos padomes sekretariāta uzdevumus Valsts kanceleja var nodot īstenošanai konkursa kārtībā izvēlētajai biedrībai vai nodibinājumam atbilstoši piešķirtajam valsts budžeta finansējumam, konkursa nolikumam un minētās biedrības vai nodibinājuma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Valsts kancelejas sagatavotais Ministru kabineta noteikumu projekts “Grozījumi Ministru kabineta 2014. gada 7. janvāra noteikumos Nr.14 “Nevalstisko organizāciju un Ministru kabineta sadarbības memoranda īstenošanas padomes nolikums”” (turpmāk – projekts) un par to izsakām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izvērtēt Ministru kabineta 2014. gada 7. janvāra noteikumu Nr.14 “Nevalstisko organizāciju un Ministru kabineta sadarbības memoranda īstenošanas padomes nolikums” (turpmāk – noteikumi) 24.</w:t>
            </w:r>
            <w:r w:rsidR="00000000" w:rsidRPr="00000000" w:rsidDel="00000000">
              <w:rPr>
                <w:vertAlign w:val="superscript"/>
                <w:rtl w:val="0"/>
              </w:rPr>
              <w:t xml:space="preserve">1</w:t>
            </w:r>
            <w:r w:rsidR="00000000" w:rsidRPr="00000000" w:rsidDel="00000000">
              <w:rPr>
                <w:rtl w:val="0"/>
              </w:rPr>
              <w:t xml:space="preserve"> punktā paredzēto regulējumu, kas nosaka Valsts kancelejas tiesības atbilstoši piešķirtajam valsts budžeta finansējumam nodot sekretariāta uzdevumus īstenošanai konkursa kārtībā izvēlētajai biedrībai vai nodibinājumam, proti, cik aktuāla šāda norma būs samazināta finansējuma ietvaros. Vēršam uzmanību, ka minētā norma ir pieņemta vienlaicīgi ar citām normām, kuras ar šo projektu paredzēts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tiek norādīts – “2026. gadā par darbu Memoranda padomē, tās izveidotajās darba grupās, kā arī padomes deleģējumā citās konsultatīvajās un uzraudzības padomēs, komisijās un darba grupās izmaksātās atlīdzības apmērs tiek apzināts un tiks precizēts noteikumu projekta saskaņošanas laikā.” Ievērojot minēto, tiesiskās paļāvības principa nodrošināšanai piedāvājam izvērtēt nepieciešamību noteikumos paredzēt pārejas regulējumu attiecībā uz ieinteresētajām personām, kas ir piedalījušās noteikumos šobrīd paredzēto pienākumu izpildē, bet kurām līdz grozījumu spēkā stāšanās dienai atlīdzība nav izmaksāta. Ja šāds regulējums nav nepieciešams, aktuālu informāciju par to aicinām sniegt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26-TA-1759</w:t>
    </w:r>
    <w:r>
      <w:br/>
    </w:r>
    <w:r w:rsidR="00000000" w:rsidRPr="00000000" w:rsidDel="00000000">
      <w:rPr>
        <w:rtl w:val="0"/>
      </w:rPr>
      <w:t xml:space="preserve">Izdrukāts 23.07.2026.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26-TA-1759</w:t>
    </w:r>
    <w:r>
      <w:br/>
    </w:r>
    <w:r w:rsidR="00000000" w:rsidRPr="00000000" w:rsidDel="00000000">
      <w:rPr>
        <w:rtl w:val="0"/>
      </w:rPr>
      <w:t xml:space="preserve">Izdrukāts 23.07.2026.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Atzinumi_26-TA-1759.docx</dc:title>
</cp:coreProperties>
</file>

<file path=docProps/custom.xml><?xml version="1.0" encoding="utf-8"?>
<Properties xmlns="http://schemas.openxmlformats.org/officeDocument/2006/custom-properties" xmlns:vt="http://schemas.openxmlformats.org/officeDocument/2006/docPropsVTypes"/>
</file>