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nodarbinātās personas, tostarp pašnodarbinātās personas,  – 3750;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projektā finansējuma saņēmējam un sadarbības partnerim paredzētās īstenojamās darbības ietver aktivitātes arī bērnu vecākiem (piemēram, 17.6. un 17.12.apakšpuntos), tādēļ lūdzam pie projekta sasniedzamajiem rezultatīvajiem rādītājiem norādīt arī bērnu vecākus.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kancelejas sniegtais skaidrojums uz iepriekšējo Veselības ministrijas priekšlikumu ar norādījumu par bērna vecākiem kā sasniedzamo mērķa grupu un rādītāju, norādot, ka bērnu vecāki  ietverti kā sasniedzamais rādītājs zem apzīmējuma "nodarbinātās personas, tostarp pašnodarbinātās personas" nav korekts, jo ne visi vecāki ir nodarbinātas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