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Atbilstoši regulas Nr.  </w:t>
            </w:r>
            <w:r w:rsidR="00000000" w:rsidRPr="00000000" w:rsidDel="00000000">
              <w:rPr>
                <w:rtl w:val="0"/>
              </w:rPr>
              <w:t xml:space="preserve">2021/1060</w:t>
            </w:r>
            <w:r w:rsidR="00000000" w:rsidRPr="00000000" w:rsidDel="00000000">
              <w:rPr>
                <w:rtl w:val="0"/>
              </w:rPr>
              <w:t xml:space="preserve"> 54. panta pirmās daļas "a" apakšpunktam projekta netiešās attiecināmās izmaksas ir vienotas likmes izmaksas un tās nedrīkst pārsniegt  7 % no projekta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59.punkta redakcija paredz piemērot tikai vienu no regulas Nr.2021/1060 54.pantā noteiktajām likmēm netiešo izmaksu segšanai. Aicinām izvērtēt, vai fondu ieviešanā neradīsies nepieciešamība piemērot arī citas regulas Nr.2021/1060 54.pantā noteiktās likmes netiešo izmaksu segšanai un attiecīgi precizēt 59.punktu, nesašaurināt  regulas Nr. 2021/1060 54.panta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Vadošajai iestādei un deleģētajai iestādei ir tiesības piemērot šādas projekta vienkāršotās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vienkāršotās izmaksas tiek piemērotas tā, kā to nosaka regula Nr.2021/1060, aicinām 61.punktā iekļaut atsauci uz regulas Nr.2021/1060 53. un 94. pantu un attiecīgi 61.punkta apakšpunktos lietot regulā Nr.2021/1060 noteikto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05.02.2025.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05.02.2025.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Atzinumi_24-TA-2716.docx</dc:title>
</cp:coreProperties>
</file>

<file path=docProps/custom.xml><?xml version="1.0" encoding="utf-8"?>
<Properties xmlns="http://schemas.openxmlformats.org/officeDocument/2006/custom-properties" xmlns:vt="http://schemas.openxmlformats.org/officeDocument/2006/docPropsVTypes"/>
</file>