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šo noteikumu </w:t>
            </w:r>
            <w:r w:rsidR="00000000" w:rsidRPr="00000000" w:rsidDel="00000000">
              <w:rPr>
                <w:rtl w:val="0"/>
              </w:rPr>
              <w:t xml:space="preserve">14.</w:t>
            </w:r>
            <w:r w:rsidR="00000000" w:rsidRPr="00000000" w:rsidDel="00000000">
              <w:rPr>
                <w:rtl w:val="0"/>
              </w:rPr>
              <w:t xml:space="preserve"> punktā minētais projekta iesniedzējs sadarbības partneru statusā var piesaistīt citu šo noteikumu </w:t>
            </w:r>
            <w:r w:rsidR="00000000" w:rsidRPr="00000000" w:rsidDel="00000000">
              <w:rPr>
                <w:rtl w:val="0"/>
              </w:rPr>
              <w:t xml:space="preserve">14.</w:t>
            </w:r>
            <w:r w:rsidR="00000000" w:rsidRPr="00000000" w:rsidDel="00000000">
              <w:rPr>
                <w:rtl w:val="0"/>
              </w:rPr>
              <w:t xml:space="preserve"> punktā minēto projekta iesniedzēju - pašvaldību, kura veic vietējās sabiedrības veselības veicināšanas un slimību profilakses pasākumus, un kura minēta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Projekta iesniedzējs sadarbības partneru statusā var piesaistīt vairākus sadarbības partnerus.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plānoto regulējumu attiecībā uz sadarbības partneru piesaisti. Vēršam uzmanību, ka gadījumā, ja cita pašvaldība tiek piesaistīta kā sadarbības partneris, projekta iesniedzējam ieplānotais finansējums netiek palielināts par citam projekta iesniedzējam plānotā finansējuma apmēru. Ja nepieciešams palielināt projekta īstenošanai nepieciešamo finansējumu, lai sasniegtu 200 000 </w:t>
            </w:r>
            <w:r w:rsidR="00000000" w:rsidRPr="00000000" w:rsidDel="00000000">
              <w:rPr>
                <w:i w:val="1"/>
                <w:rtl w:val="0"/>
              </w:rPr>
              <w:t xml:space="preserve">euro</w:t>
            </w:r>
            <w:r w:rsidR="00000000" w:rsidRPr="00000000" w:rsidDel="00000000">
              <w:rPr>
                <w:rtl w:val="0"/>
              </w:rPr>
              <w:t xml:space="preserve"> apmēru, pievienojams pašvaldības budžeta līdzfinansējums. No noteikumu projekta pielikumā minētā izriet, ka attiecīgais finansējums ir pieejams katrai konkrētajai pašvaldībai kā projekta iesniedzējam, t.i., finansējuma saņēmējam, īstenojot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Pievienotās vērtības nodokļa maksājumi, kas tiešā veidā saistīti ar projektu, ir uzskatāmi par attiecināmām izmaksām saskaņā ar regulas Nr. 2021/1060 64. panta 1. punkta "c" apakšpunktā ietvertajiem nosacījumiem, ja vien tie nav atgūstami saskaņā ar nacionālajiem tiesību aktiem pievienotās vērtības nodokļa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30. punktā vārdus "ja vien tie nav atgūstami saskaņā ar nacionālajiem tiesību aktiem pievienotās vērtības nodokļa jomā". Skaidrojam, ka no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"i" punkta izriet, ka projektam, kura kopējās izmaksas ir mazākas nekā 5 000 000 </w:t>
            </w:r>
            <w:r w:rsidR="00000000" w:rsidRPr="00000000" w:rsidDel="00000000">
              <w:rPr>
                <w:i w:val="1"/>
                <w:rtl w:val="0"/>
              </w:rPr>
              <w:t xml:space="preserve">euro</w:t>
            </w:r>
            <w:r w:rsidR="00000000" w:rsidRPr="00000000" w:rsidDel="00000000">
              <w:rPr>
                <w:rtl w:val="0"/>
              </w:rPr>
              <w:t xml:space="preserve">, pievienotās vērtības nodoklis ir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sadarbības iestādei ir pieejami valsts budžeta līdzekļi, tā, izvērtējot plānotā avansa apmēru un tā pamatojumu un pamatojoties uz finansējuma saņēmēja rakstisku avansa pieprasījumu, pēc vienošanās par projekta īstenošanu noslēgšanas var piešķirt finansējuma saņēmējam avansu. Finansējuma saņēmējs avansa pieprasījumu sagatavo un sadarbības iestāde to apstiprina, ņemot vērā, ka plānotā avansa apmērs atbilst spējai to izlietot sešu mēnešu laikā saimnieciskā gada ietvaros. Finansējuma saņēmējam avansu var piešķirt līdz 30 procentiem no projektam piešķirtā Eiropas Sociālā fonda Plus finansējuma saskaņā ar pakalpojumu vai preču piegādes līgumu un normatīvo aktu par valsts budžeta līdzekļu plānošanas kārtību Eiropas Savienības fondu projektu īstenošanai un maksājumu veikšanai 2021. – 2027. gada plānošanas periodā, ievērojot, ka avansu var izmaksāt vairākos maksājumos un avansa un starpposma maksājumu kopsumma nepārsniedz 90 procentus no projektam piešķirtā Eiropas Sociālā fonda Plus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 gada 25. aprīļa noteikumi Nr. 205 "Valsts budžeta līdzekļu plānošanas kārtība Eiropas Savienības fondu projektu īstenošanai un maksājumu veikšanai 2021.–2027. gada plānošanas periodā" (turpmāk - noteikumi Nr. 205) paredz, ka avansa apmērs nepārsniedz 30 % no projektam piešķirtā Eiropas Savienības fonda finansējuma </w:t>
            </w:r>
            <w:r w:rsidR="00000000" w:rsidRPr="00000000" w:rsidDel="00000000">
              <w:rPr>
                <w:u w:val="single"/>
                <w:rtl w:val="0"/>
              </w:rPr>
              <w:t xml:space="preserve">un, ja tas ir paredzēts projektā, valsts budžeta līdzfinansējuma kopsummas,</w:t>
            </w:r>
            <w:r w:rsidR="00000000" w:rsidRPr="00000000" w:rsidDel="00000000">
              <w:rPr>
                <w:rtl w:val="0"/>
              </w:rPr>
              <w:t xml:space="preserve"> savukārt avansa un starpposma maksājumiem ievēro nosacījumu, ka to kopsumma nedrīkst pārsniegt 90 % no projektam piešķirtā Eiropas Savienības fonda finansējuma </w:t>
            </w:r>
            <w:r w:rsidR="00000000" w:rsidRPr="00000000" w:rsidDel="00000000">
              <w:rPr>
                <w:u w:val="single"/>
                <w:rtl w:val="0"/>
              </w:rPr>
              <w:t xml:space="preserve">un, ja tas paredzēts projektā, valsts budžeta līdzfinansējuma kopsummas</w:t>
            </w:r>
            <w:r w:rsidR="00000000" w:rsidRPr="00000000" w:rsidDel="00000000">
              <w:rPr>
                <w:rtl w:val="0"/>
              </w:rPr>
              <w:t xml:space="preserve">. Ņemot vērā, ka noteikumu projekts paredz arī valsts budžeta līdzfinansējumu, lūdzam atbilstoši papildināt noteikumu projekta 38.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svītrot noteikumu projekta 38. punktā norādi uz pakalpojumu vai preču piegādes līgumiem. Vēršam uzmanību, ka avansa apjoms šajā projektā tiek noteikts, ievērojot noteikumos Nr. 205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anotācijā informāciju, ka, ja projektus uzsāk īstenot atbilstoši faktiskajām izmaksām, Veselības ministrija uzkrāj projektu datus par aktuālajām pasākumu izmaksām un pēc gada atkārtoti izvērtē iespēju izstrādāt vienas vienības izmaksu standarta likmes projektos biežāk sastopamajiem pasākumu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stiprināt argumentāciju anotācijā, kāpēc šajā pasākumā netiek izstrādāta vienas vienības izmaksu metodika, ņemot vērā pieejamos vēsturiskos projektu datus un iepriekš plānoto projektu budžetu apjomus. Vēršam uzmanību, ka vienkāršotās izmaksas neatbild par pasākuma īstenošanas kvalitāti un neietekmē to, kā tas minēts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minimālā projektu sliekšņu noteikšanu, tā ir atbildīgās iestādes kompetence un lēmums, kuru aicinām plašāk skaidrot un pamatot anotācijā, lai arī nākotnes auditos būtu skaidrs un nebūtu bažas par mākslīgu Regulas Nr. 2021/1060 nosacījumu apiešanu, īpaši šajā gadījumā, kad vienkāršoto izmaksu metodiku Centrālā finanšu un līgumu aģentūra jau bija izstrādājusi.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Pasākums veicina 4.1.2. SAM kopējā iznākuma rādītāja "nacionāla, reģionāla vai vietēja mēroga valsts administrācijas vai sabiedrisko pakalpojumu iestāžu un pakalpojumu skaits, kas saņēmuši atbalstu" sasniegšanu, nodrošinot, ka pasākuma ietvaros līdz 2029. gada 31. decembrim atbalstu būs saņēmušas 43 pašvaldības, tostarp uz 2024. gada 31. decembri atbalstu būs saņēmušas 43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palielinot minimālās izmaksas vienam projektam, palielinās risks nesasniegt pasākuma iznākuma rādītāju. Lūdzam papildināt anotāciju un iekļaut skaidrojumu par situāciju, ja kāda no pašvaldībām projekta minimālo izmaksu dēļ nevarēs veidot partnerību ar citu pašvaldību, lai sasniegtu projekta minimālo izmaksu apmēru vai finansiālā situācija pašvaldībā neļaus nodrošināt pietiekamu līdzfinansējumu (piemēram, Rēzeknes pilsētas pašvaldība vai neliela Varakļānu novada pašvaldība) un projekta iesniegums netiks iesniegts.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Švarce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izmaksas ir attiecināmas, ja tās atbilst šajos noteikumos minētajām izmaksu pozīcijām un tās ir radušās ne agrāk par 2023. gada 1. jūliju. Projektā neiekļauj darbības, kas ir pabeigtas līguma par projekta īstenošanu noslēgšanas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Regulas Nr. 2021/1060 63. panta 6. punkta izriet, ka no Eiropas Savienības fondiem neatbalsta darbības, kuras ir faktiski pabeigtas vai pilnībā īstenotas </w:t>
            </w:r>
            <w:r w:rsidR="00000000" w:rsidRPr="00000000" w:rsidDel="00000000">
              <w:rPr>
                <w:u w:val="single"/>
                <w:rtl w:val="0"/>
              </w:rPr>
              <w:t xml:space="preserve">pirms iesniegts projekta iesniegums</w:t>
            </w:r>
            <w:r w:rsidR="00000000" w:rsidRPr="00000000" w:rsidDel="00000000">
              <w:rPr>
                <w:rtl w:val="0"/>
              </w:rPr>
              <w:t xml:space="preserve">. Lūdzam atbilstoši precizēt noteikumu projekta 13. punktu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sadarbības partnera īstenojamās atbalstāmās darbības un to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projektu specifiku, ka projekta īstenošanas laikā atbilstoši iedzīvotāju vajadzībām vairākkārtīgi tiek aktualizētas darbības un to apjomi, lūdzam izvērtēt, vai ir mērķtiecīgi jau sadarbības līgumā atrunāt visu plānoto atbalstāmo darbību apjomus. Tādā gadījumā ikreiz pie projekta grozījumiem būtu jāgroza arī sadarbības līgumi, kas radītu papildu administratīvo slogu. Iesakām sadarbības līgumā atrunāt atbalstāmo darbību sadalījumu starp finansējuma saņēmēju un sadarbības partneri un budžetu pa izmaksu veidiem (projekta vadības izmaksas, netiešās izmaksas un pārējās tiešās izmaksas), bet projekta darbību sīkāku detalizāciju un apjomus nodrošināt tikai projekta iesnieguma līmenī. Atbilstoši lūdzam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Pasākuma atbalstāmās darbības un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noteikumu projekta V nodaļu ar jaunu punktu, paredzot: ja projektu īstenošanas laikā kādām šo noteikumu 26. punktā minētajām izmaksām atbildīgā iestāde vai vadošā iestāde izstrādā vienas vienības izmaksu standarta likmes metodiku, izmaksām piemēro atbildīgās iestādes vai vadošās iestādes apstiprināto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izmaksas par inventāru un tā darbības nodrošināšanu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nevajadzētu noteikt apjoma procentuālo limitu, ņemot vērā, ka pasākuma mērķis nav investīcijas. Kā arī, lūdzam MK noteikumos vai anotācijā iekļaut informāciju par to, vai būs atbalstāma arī pamatlīdzekļu iegāde (SAM 9.2.4.2. ietvaros bija atbalstāma tikai mazvērtīgā inventāra iegāde).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informatīvo materiālu izgatavošanas, drukas un izplatīšanas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28.11.2023. MK noteikumu Nr. 694 28.4.punktam (28.4. informatīvo materiālu izgatavošanas, drukas un izplatīšanas izmaksas;) informatīvos materiālus Latvijas mērogā pēc pašvaldību pieprasījuma 4.1.2.1. pasākuma ietvaros nodrošina Veselības ministrija, tad, lai izvairītos no dubultā finansējuma riska un papildu administratīvā sloga tā uzraudzīšanai, lūdzam izvērtēt šī punkta dzēšanu. Šī punkta dzēšana neliegs pašvaldībām drukāt nodarbībām nepieciešamos darba materiālus pasākumu īstenošanas izmaksu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22.3.</w:t>
            </w:r>
            <w:r w:rsidR="00000000" w:rsidRPr="00000000" w:rsidDel="00000000">
              <w:rPr>
                <w:rtl w:val="0"/>
              </w:rPr>
              <w:t xml:space="preserve"> apakšpunktā minētās atbalstāmās darbības ietvaros ir attiecināmas komunikācijas un vizuālās identitātes prasību nodrošināšanas izmaksas, lai izpildītu minētās prasības atbilstoši regulas 2021/1060 47. un 50. pantam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savstarpēji saskaņot informāciju anotācijā un MK noteikumos, attiecībā uz komunikācijas un vizuālās identitātes prasību nodrošināšanas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 </w:t>
            </w:r>
            <w:r w:rsidR="00000000" w:rsidRPr="00000000" w:rsidDel="00000000">
              <w:rPr>
                <w:i w:val="1"/>
                <w:rtl w:val="0"/>
              </w:rPr>
              <w:t xml:space="preserve">Ņemot vērā, ka projektā nav atbalstāmas projekta attiecināmās izmaksas projekta obligāto publicitātes pasākumu segšanai, attiecīgi šādas izmaksas var segt no septiņu procentu netiešo izmaksu vienotās likmes.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Švarce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23.</w:t>
            </w:r>
            <w:r w:rsidR="00000000" w:rsidRPr="00000000" w:rsidDel="00000000">
              <w:rPr>
                <w:rtl w:val="0"/>
              </w:rPr>
              <w:t xml:space="preserve"> punktā minēto atbalstāmo darbību īstenošanai ir attiecināmas projekta netiešās attiecināmās izmaksas, ko projekta iesniegumā plāno kā vienu izmaksu pozīciju, piemērojot netiešo izmaksu vienoto likmi 7 procentu apmērā no šo noteikumu </w:t>
            </w:r>
            <w:r w:rsidR="00000000" w:rsidRPr="00000000" w:rsidDel="00000000">
              <w:rPr>
                <w:rtl w:val="0"/>
              </w:rPr>
              <w:t xml:space="preserve">25.</w:t>
            </w:r>
            <w:r w:rsidR="00000000" w:rsidRPr="00000000" w:rsidDel="00000000">
              <w:rPr>
                <w:rtl w:val="0"/>
              </w:rPr>
              <w:t xml:space="preserve"> punktā minētajām projekta tiešajām īstenošanas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darbības tiek atrunātas MK noteikumu projekta 22.punktā, lūdzam 23.punktu aizvietot ar 22.punktu.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projekta 25.punkts atrunā tikai 22.2. un 22.3. apakšpunktā minēto darbību izmaksas, bet atbilstoši Regulas Nr. 2021/1060 54.panta a) apakšpunktam 7% likmi rēķina no visām tiešajām izmaksām, tātad arī no noteikumu 22.1.apakšpunktā atrunātās darbības izmaksām. Lūdzam papildināt arī ar 24.punktā atrunātajām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22.</w:t>
            </w:r>
            <w:r w:rsidR="00000000" w:rsidRPr="00000000" w:rsidDel="00000000">
              <w:rPr>
                <w:rtl w:val="0"/>
              </w:rPr>
              <w:t xml:space="preserve"> punktā minēto atbalstāmo darbību īstenošanai ir attiecināmas šo noteikumu </w:t>
            </w:r>
            <w:r w:rsidR="00000000" w:rsidRPr="00000000" w:rsidDel="00000000">
              <w:rPr>
                <w:rtl w:val="0"/>
              </w:rPr>
              <w:t xml:space="preserve">23.3.</w:t>
            </w:r>
            <w:r w:rsidR="00000000" w:rsidRPr="00000000" w:rsidDel="00000000">
              <w:rPr>
                <w:rtl w:val="0"/>
              </w:rPr>
              <w:t xml:space="preserve"> apakšpunktā minētās neparedzētās izmaksas līdz diviem procentiem no projekta kopējām tiešajām attiecināmajām izmaksām, ko projekta iesniegumā plāno kā vienu izmaksu pozīciju un izmanto šo noteikumu </w:t>
            </w:r>
            <w:r w:rsidR="00000000" w:rsidRPr="00000000" w:rsidDel="00000000">
              <w:rPr>
                <w:rtl w:val="0"/>
              </w:rPr>
              <w:t xml:space="preserve">26.</w:t>
            </w:r>
            <w:r w:rsidR="00000000" w:rsidRPr="00000000" w:rsidDel="00000000">
              <w:rPr>
                <w:rtl w:val="0"/>
              </w:rPr>
              <w:t xml:space="preserve"> punktā minēto projekta pārējo tiešo attiecināmo īstenošanas papildu izmaksu segšanai, kas neparedzamu apstākļu dēļ ir kļuvušas nepieciešamas projekta īstenošanai. Neparedzētās izmaksas pirms izdevumu veikšanas finansējuma saņēmējs saskaņo ar sadarbības iestādi, kā to nosaka vienošanās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iepriekšējā skaņošanas reizē sniegto priekšlikumu, aicinām precizēt noteikumu projekta 29.punktu, aizstājot vārdus "...projekta pārējo tiešo attiecināmo īstenošanas papildu izmaksu segšanai..." ar vārdiem "atbalstāmo darbību papildu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precizēt atsauci uz noteikumu projekta 22.2. apakšpunktu (22. punkta vietā), ņemot vērā, ka noteikumu projekta 26. punktā ir atrunāta tikai noteikumu projekta 22.2. apakšpunktā minētā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lūdzam savstarpēji saskaņot informāciju anotācijā un noteikumu projektā attiecībā uz neparedzēto izdevumu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 Atbalstāmo darbību -  projekta vadības un īstenošanas nodrošināšana un veselības veicināšanas un slimību profilakses pasākumi mērķa grupām un vietējai sabiedrībai īstenošanai ir attiecināmi neparedzētie izdevumi līdz diviem procentiem no projekta kopējā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iesniedzējs un / vai Sadarbības partneris var pretendēt uz attiecināmajām izmaksām katra projekta iesniedzēja līmenī, kas aprēķinātas un norādītas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ievērojot, ka minimālā viena projekta summa nav mazāka par 200 000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2021/1060 53. panta 2. punktu, darbības vai projekti, kas ir daļa no darbības , kuri saņem atbalstu no Eiropas Reģionālās attīstības fonda, Eiropas Sociālā fonda Plus vai Taisnīgas pārkārtošanās fonda un kuru kopējās izmaksas nepārsniedz 200 000 euro, visas izmaksas tiek segtas ar vienu vienību, fiksētās summas maksājumu vai vienoto likmju veidā, izņemot darbības, kurām atbalsts kvalificējams kā komercdarbības (izņemot de minimis) atbalsts. Lūgums attiecīgi precizēt noteikumu projekta 31.punkta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iesniedzējs un / vai Sadarbības partneris var pretendēt uz attiecināmajām izmaksām katra projekta iesniedzēja līmenī, kas aprēķinātas un norādītas pielikumā, ievērojot, ka minimālā viena projekta summa nav mazāka par 200 000 euro (ieskaitot).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projekta iesniedzējs papildus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minētajam Eiropas Sociāla fonda Plus finansējumam un nacionālajam valsts budžeta finansējumam individuālā līmenī var pievienot privāto finansējumu, sasniedzot minimālo viena projekta summu, kas nav mazāka par 200 000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Nr.2021/1060 53. panta 2. punktu, darbības vai projekti, kas ir daļa no darbības , kuri saņem atbalstu no Eiropas Reģionālās attīstības fonda, Eiropas Sociālo fonda Plus vai Taisnīgas pārkārtošanās fonda un kuru kopējās izmaksas nepārsniedz 200 000 euro, visas izmaksas tiek segtas ar vienu vienību, fiksētās summas maksājumu vai vienoto likmju veidā, izņemot darbības, kurām atbalsts kvalificējams kā komercdarbības (izņemot de minimis) atbalsts. Lūgums attiecīgi precizēt noteikumu projekta 32.2.apakšpunkta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ka projekta iesniedzējs ir pašvaldība, lūdzam precizēt noteikumu projekta 32.2. apakšpunktu, aizstājot vārdus "privāto finansējumu" ar vārdiem "pašvaldības budžeta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Projekta iesniedzējs papildus šo noteikumu pielikumā minētajam Eiropas Sociāla fonda Plus finansējumam un nacionālajam valsts budžeta finansējumam individuālā līmenī var pievienot pašvaldības budžeta finansējumu, sasniedzot minimālo viena projekta summu, kas nav mazāka par 200 000 euro (ieskaitot).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Krisone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ka tiks nodrošināta demarkācija ar līdzīgiem pasākumiem kā piemēram ar 4.1.2.3. pasākumu "Pasākumi atkarīgo personu resocializācijai un atgriešanai darba tirgū, kā arī preventīvie pasākumi jauniešiem " un 4.1.2.4.pasākumu "Pierādījumos balstītu narkotiku lietošanas profilakses programmu īstenošana un profilakses kvalitātes standartu ieviešana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21.punktā ir noteiktas pasākuma ietvaros atbalstāmās jomas, bet nav noteikts, kuras būtu prioritārās jomas, lūdzam sadaļā "Risinājuma apraksts" vārdu "prioritārās" aizstāt ar "noteikumu 21.punktā noteiktajās jomās".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finansējuma saņēmējs projekta vadības un īstenošanas personālu projektam var piesaistīt uz darba līguma un pakalpojuma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 vārdiem "finansējuma saņēmējs" lūdzam papildināt  ar vārdiem "un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kur turpmāk anotācijas tekstā nepieciešams papildināt nosacījumu, attiecinot to arī uz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uz jautājumu "Vai ir izvērtēts prasību un izmaksu samērīgums pret ieguvumiem?" atbildēt ar "jā", norādot atsauci uz attiecīgo teksta daļu vai arī tekstu pārceļot uz jautājuma sadaļu, jo sociālekonomiskie ieguvumi ir aprēķināti, un aprēķini liecina, ka tie, visticamāk, ir lielāki par projekta investīciju un uzturēšanas izmaksām projekta dzīves cikla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aizpildīt anotācijas 3.sadaļas “Tiesību akta projekta ietekme uz valsts budžetu un pašvaldību budžetiem”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18.04.2024. 22.25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18.04.2024. 22.25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Atzinumi_23-TA-1018.docx</dc:title>
</cp:coreProperties>
</file>

<file path=docProps/custom.xml><?xml version="1.0" encoding="utf-8"?>
<Properties xmlns="http://schemas.openxmlformats.org/officeDocument/2006/custom-properties" xmlns:vt="http://schemas.openxmlformats.org/officeDocument/2006/docPropsVTypes"/>
</file>