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finansējums paredzēts mazākumtautību programmu izglītojamo atbalstam pamatizglītības īstenošanai valsts valodā vienu gadu un tas ir izpildīts.  Finansējuma pārpalikums nevar būt par pamatu  izglītojamo loka paplašināšanai, ņemot vērā to, ka šobrīd notiek intensīvs darbs pie izdevumu efektivizēšanas un mērķa sasniegšanas ar mazāku finanšu ieguldījumu.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10.02.2025.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10.02.2025.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Atzinumi_25-TA-22.docx</dc:title>
</cp:coreProperties>
</file>

<file path=docProps/custom.xml><?xml version="1.0" encoding="utf-8"?>
<Properties xmlns="http://schemas.openxmlformats.org/officeDocument/2006/custom-properties" xmlns:vt="http://schemas.openxmlformats.org/officeDocument/2006/docPropsVTypes"/>
</file>