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pamatojumu, kāpēc šo noteikumu 4.1. apakšpunktu piemēros ar 2027. gada 1. septembri. Tāpat lūdzam sniegt anotācijā detalizētu pamatojumu 4.1.apakšpunktam (minot, kāpēc tiek ieviests šāds ierobežojums).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7.4. Projekta izpildes ietekme uz pārvaldes funkcijām un institucionālo struktūru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papildināt informāciju, minot, kas tieši tiks pilnveidots Valsts izglītības informācijas sistēmā.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10.02.2026.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10.02.2026.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