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ietverto mērķa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mērķim būtu jābūt vērstam uz pozitīvām izmaiņām vai sasniedzamo rezultātu Latvijā, nevis tikai Eiropas Savienības direktīvu prasību pārņemšanu vai normu pārcelšanu starp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direktīvu pārņemšana var būt pamatojums noteikumu projekta izstrādei, pašā mērķa formulējumā būtu atspoguļojams, kādus konkrētus uzlabojumus vai ieguvumus paredzēts panākt, piemēram, nodrošinot efektīvāku bīstamo kravu aprites kontroles regulējumu vai vienotu tiesisko regulējumu attiecīgajā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sadaļu, jo pašreizējā redakcija nav pilnībā atbilstoša projekta saturam un nesniedz korektu priekšstatu par tiesību akta ietekmi uz regulējuma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ieviests detalizēts bīstamo kravu autopārvadājumu kontroles regulējums,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kontroles veikšanas kārtība, līdz ar to nav korekti anotācijā norādīt, ka “tiesiskais regulējums nemaina to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sadaļā ietverto ietekmes aprakstu, norādot, kā projekts ietekmē regulējuma mērķa grupas, tai skaitā kādas kontroles darbības, pienākumi vai procesuālās darbības var tikt piemērotas bīstamo kravu autopārvadājumos iesaistītajām fiziskajām un juridiskajām personām projekta regulējuma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precizēt anotācijas 7. sadaļu, jo pašreiz anotācijā ir tikai uzskaitītas projekta izpildē iesaistītās institūcijas, bet nav sniegts izvērtējums par projekta faktisko ietekmi uz institūciju funkcijām, kontroles darbībām un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 detalizētu bīstamo kravu autopārvadājumu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jaunu pārbaudes protokolu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riska kategoriju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informācijas apriti starp institūcijām un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ikgadēju datu apkopošanu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paplašina uzraudzības institūciju praktiskās kontroles darbības, tostarp uzņēmumu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korektīvo pasākumu piemērošanu un transportlīdzekļu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7. sadaļā būtu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mainās institūciju funkciju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pieaug kontroles darbību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nepieciešami papildu administratīvie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rodas administratīvās izmaksas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nepieciešama datu uzskaite, apkopošana vai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izvērtējumu un nepieciešamības gadījumā papildināt anotācijas 7.2. apakšpunktu un 7.4. apakšpunktu, jo projekts paredz jaunas vai precizētas uzraudzības un kontroles darbības, informācijas apriti, datu apkopošanu un citus ar projekta izpildi saistītus institucionālos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26.05.2026.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26.05.2026.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