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16. augusta noteikumos Nr. 480 "Noteikumi par atbrīvojuma piemērošanu no dabas resursu nodokļa samaksas par iepakojumu un vienreiz lietojamiem galda traukiem un piederumiem"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 (shēma))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"TETRA PAK"</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2017. gada 16. augusta noteikumos Nr. 480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Tetra Pak pateicas par veiktajiem papildinājumiem un pilnībā atbalsta izlietotā dzērienu iepakojuma dalītās savākšanas un pārstrādes apjomu mērķu izvirzīšanā, īpaši izdalot dzērienu vienreiz lietojamo kompozīta iepakojumu ar tilpumu līdz trim litriem (tā korķīši un vāciņi).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esam iepriekš uzsvēruši, atsevišķu mērķu definēšana ir efektīvs instruments, ko valstīm izmantot, lai veicinātu pārstrādi. Izvirzītie mērķi nodrošina godīgu konkurenci dzērienu kartona iepakojumam un ir attiecināmi uz visiem tirgus spēlētājiem, tādā veidā veicinot ciešāku sadarbību resursu apritē. Vienots regulējums ir fundamentāls pamats industrijai.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Pateicoties izveidotajai infrastruktūrai, redzam iespējas faktiski sekot grozījumu projektā izvirzītajiem mērķiem, 2029. gadā sasniedzot 60%. Jāatgādina, ka pirms gada Tetra Pak kopā ar Stora Enso atklāja jaunu 50 tūkstošu tonnu dzērienu  kartona iepakojuma pārstrādes līniju, kuras mērķis ir pārstrādāt arī izlietoto  dzērienu kartona iepakojumu no Latvijas. Šie ieguldījumi ir veikti apzinoties, ka jebkura alternatīva ilgtermiņā ir dārgāks risinājums visām iesaistītajām pusēm, t.sk., gala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gandarīti par Latvijas ambīciju gudri izmantot esošos priekšnosacījumus, lai ar dalīto savākšanas mērķu izvirzīšanu tiktu uzrādīti labāki pārstrādes rezultāti, reizē arī tālejoši neradot problēmas, efektīvi virzoties uz sasniedzamiem mērķiem pakāpeniski. Tieši tāpēc īpaši būtiski ir mērķus attiecināt visu tirgū laisto iepakojumu, sistēmu nesarežģījot vēl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Baumane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10.06.2024.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10.06.2024.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Atzinumi_24-TA-118.docx</dc:title>
</cp:coreProperties>
</file>

<file path=docProps/custom.xml><?xml version="1.0" encoding="utf-8"?>
<Properties xmlns="http://schemas.openxmlformats.org/officeDocument/2006/custom-properties" xmlns:vt="http://schemas.openxmlformats.org/officeDocument/2006/docPropsVTypes"/>
</file>