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23-TA-2504: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2013. gada 5. februāra noteikumos Nr. 84 "Noteikumi par atsevišķu bīstamu ķīmisku vielu lietošanas ierobežojumiem elektriskajās un elektroniskajās iekārtās"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5. sadaļu un precizēt to, ņemot vērā, ka atbilstoši Ministru kabineta 2013. gada 5. februāra noteikumos Nr. 84 "Noteikumi par atsevišķu bīstamu ķīmisku vielu lietošanas ierobežojumiem elektriskajās un elektroniskajās iekārtās" (turpmāk - noteikumi Nr.84) iepriekš veiktajiem grozījumiem, ar noteikumu projektā grozījumiem pakļauto noteikumu Nr.84 4. pielikumu ir ieviests arī, piemēram, bet ne tikai, Eiropas Parlamenta un Padomes 2011.gada 8.jūnija Direktīvas 2011/65/ES par dažu bīstamu vielu izmantošanas ierobežošanu elektriskās un elektroniskās iekārtās IV pielikums. Attiecīgi lūdzam pārskatīt noteikumu projektu un izvērtēt, vai uz to attiecināmās šī noteikumu projekta anotācijā nenorādītās (iepriekš pārņemtās/ieviestās), Eiropas Savienības tiesību normas joprojām ir attiecināmas. Šādā gadījumā, iesakām papildināt anotācijas 5. sadaļu ar norādēm uz Eiropas Savienības tiesību normām un/vai norādīt, ka līdz šim pārņemtās/ieviestās, no Eiropas Savienības tiesību normām  izrietošās prasības netiek mainītas, ietekmētas vai nepārņemtas.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5.4. apakšsadaļas 1. tabulu un veikt tajā nepieciešamos precizējumus, ņemot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Komisijas 2023. gada 4. maija Deleģētā </w:t>
            </w:r>
            <w:r w:rsidR="00000000" w:rsidRPr="00000000" w:rsidDel="00000000">
              <w:rPr>
                <w:u w:val="single"/>
                <w:rtl w:val="0"/>
              </w:rPr>
              <w:t xml:space="preserve">direktīvas (ES) 2023/1437</w:t>
            </w:r>
            <w:r w:rsidR="00000000" w:rsidRPr="00000000" w:rsidDel="00000000">
              <w:rPr>
                <w:rtl w:val="0"/>
              </w:rPr>
              <w:t xml:space="preserve">, ar ko attiecībā uz atbrīvojumu dzīvsudraba izmantošanai kapilārajiem reometriem paredzētos kušanas spiediena devējos noteiktos apstākļos Eiropas Parlamenta un Padomes Direktīvas 2011/65/ES IV pielikumu groza, to pielāgojot zinātnes un tehnikas attīstībai (turpmāk - direktīva 2023/1437) 1. pants, domājams, pārņemts ar noteikumu projekta 1.3. apakšpunktu nevis 1.4. apakšpunktu, jo noteikumu projektā nav 1.4. apakšpunkta;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projekta 1.1. apakšpunkts šķietami nav tieši saistīts ar direktīvas 2023/1437 1. panta pārņemšanu, bet gan ar direktīvas 2023/1437 2. panta 1. punkta pārņemšanu, jo izpilda no tā izrietošo prasību noteikumos ietvert atsauci uz šo direktīvu;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direktīvas 2023/1437 pielikums domājams pārņemts ar projekta 1.3. apakšpunktu nevis 1.4. apakšpunktu, jo noteikumu projektā nav 1.4. apakšpunkta;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Komisijas 2023. gada 16. maija Deleģētā </w:t>
            </w:r>
            <w:r w:rsidR="00000000" w:rsidRPr="00000000" w:rsidDel="00000000">
              <w:rPr>
                <w:u w:val="single"/>
                <w:rtl w:val="0"/>
              </w:rPr>
              <w:t xml:space="preserve">direktīva 2023/1526</w:t>
            </w:r>
            <w:r w:rsidR="00000000" w:rsidRPr="00000000" w:rsidDel="00000000">
              <w:rPr>
                <w:rtl w:val="0"/>
              </w:rPr>
              <w:t xml:space="preserve">, ar ko attiecībā uz atbrīvojumu izmantot svinu kā tāda polivinilhlorīda termisko stabilizatoru, ko lieto par bāzes materiālu sensoros, kurus izmanto in vitro diagnostikas medicīniskajās ierīcēs, groza Eiropas Parlamenta un Padomes Direktīvu 2011/65/ES (turpmāk - direktīva 2023/1526) 1. pants domājams ieviests ar noteikumu projekta 1.3. apakšpunktu nevis 1.4. apakšpunktu, jo noteikumu projektā nav 1.4.apakšpunkta;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noteikumu projekta 1.2. apakšpunkts šķietami nav tieši saistīts ar direktīvas 2023/1526 1. panta pārņemšanu, bet gan ar direktīvas 2023/1526 2. panta 1. punkta pārņemšanu, jo izpilda no tā izrietošo prasību noteikumos ietvert atsauci uz šo direktīvu;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direktīvas 2023/1526 pielikums domājams pārņemts ar projekta 1.3. apakšpunktu nevis 1.4. apakšpunktu, jo noteikumu projektā nav 1.4. apakšpunkta.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un precizēt anotācijas 1.1. apakšsadaļu, kur šķietami nekorekti norādīts, ka noteikumu projekts ir nepieciešams, lai Latvijas normatīvajos aktos </w:t>
            </w:r>
            <w:r w:rsidR="00000000" w:rsidRPr="00000000" w:rsidDel="00000000">
              <w:rPr>
                <w:b w:val="1"/>
                <w:rtl w:val="0"/>
              </w:rPr>
              <w:t xml:space="preserve">līdz 2023.gada 28.februārim</w:t>
            </w:r>
            <w:r w:rsidR="00000000" w:rsidRPr="00000000" w:rsidDel="00000000">
              <w:rPr>
                <w:rtl w:val="0"/>
              </w:rPr>
              <w:t xml:space="preserve"> pārņemtu Eiropas Savienības tiesību aktus. Pirmkārt, tāpēc, ka ir jau 2023. gada decembris un, otrkārt, tāpēc, ka nevienā no noteikumu projekta izstrādi pamatojošajiem Eiropas Savienības tiesību aktiem nav minēts 28. februāris. Tāpat vēršam uzmanību arī uz to, ka kā spēkā stāšanās termiņš norādīts 2024. gada 1. februāris.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atsauces uz Eiropas Savienības tiesību aktiem noformēt atbilstoši Ministru kabineta 2009. gada 3. februāra noteikumiem Nr. 108 „Normatīvo aktu projektu sagatavošanas noteikumi” 4. nodaļai. Atsaucē uz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EUR-Lex datu 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juridiskās tehnikas prasības arī attiecībā uz to, ka, nepieciešamības gadījumā, saīsinājumu piesaka pirmajā vietā juridiskajā tekstā, kur lietots attiecīgais tiesību akta nosaukums, piemēram, Eiropas Parlamenta un Padomes 2017. gada 17. maija Regula (ES) 2017/852 par dzīvsudrabu un ar ko atceļ Regulu (EK) Nr. 1102/2008 (turpmāk - Regula 2017/852). Tāpat iesakām nepieteikt vienu saīsinājumu vairākkārt.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anotācijas 1.3. apakšsadaļas pašreizējās situācijas skaidrojumu un nepieciešamības gadījumā to precizēt, ņemot vērā, ka noteikumu projekts paredz izdarīt grozījumus noteikumu Nr. 84 4. pielikumā, bet skaidrojumos ietverta atsauce arī uz noteikumu Nr. 84 5. punktu un 1. pielikumu, kas, konkrētā projekta kontekstā, šķietami nav nepieciešama, jo noteikumu projekts neparedz grozījumus attiecīgajās noteikumu Nr.84 vienībās.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sabiedrības grupas, kuras tiesiskais regulējums ietekmē vai varētu ietekmēt, pārliecinoties par to, vai noteikumu projekts neietekmē arī fiziskās personas, kas ir elektrisko un elektronisko iekārtu lietotāji. Nepieciešamības gadījumā lūdzam papildināt anotācijas 2.1. apakšsadaļu.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un nepieciešamības gadījumā papildināt anotācijas 5.4. apakšsadaļas 1. tabulas sadaļu "Cita informācija", konkretizējot apsvērumus tam, kāpēc normatīvie akti, kas vajadzīgi, lai izpildītu direktīvas 2023/1526 prasības stājas spēkā 2024. gada 1. februārī, bet, tajā pašā laikā, ieviešamais nosacījums satur piemērošanas termiņu: līdz 2023. gada 31. decembrim, ja šāda informācija ir pieejama. Vēršam uzmanību, ka, brīdī, kad plānota grozījumu spēkā stāšanās (2024. gada 1. februāris) konkrētais punkts šķietami vairs nebūs aktuāls, jo ar tiem noteiktais izņēmuma periods (2023. gada 31. decembrim) jau būs pagājis.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ja iespējams, iesakām skaidrot to, kā tas praktiski ietekmē/neietekmē vai var ietekmēt tiesību normu adresātu. Vai šajā situācijā nepastāv kādi potenciālie riski, ņemot vērā, ka tiesību normas tiek pārņemtas neskatoties uz to, ka atsevišķas direktīvā ietvertās normas šķiet nav atbilstošas un tiek pārņemtas, pamatojoties uz principu, ka Eiropas Savienības tiesību akti, kas ir stājušies spēkā, jāuzskata par spēkā esošiem, kamēr tie nav atzīti par spēkā neesošiem.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papildinājumi nodrošinātu Eiropas Komisijas tiesību akta un noteikumu projekta pilnīgāku, skaidrāku izpratni tā adresātiem.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vai noteikumu projektam tiešām nav nekādas ietekmes uz institūcijām, nepieciešamības gadījumā papildinot anotācijas 7. sadaļu. Gadījumā, ja noteikumu projekta izstrādē bija iesaistīta kāda institūcija, iesakām to norādīt anotācijas 6.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23-TA-2504</w:t>
    </w:r>
    <w:r>
      <w:br/>
    </w:r>
    <w:r w:rsidR="00000000" w:rsidRPr="00000000" w:rsidDel="00000000">
      <w:rPr>
        <w:rtl w:val="0"/>
      </w:rPr>
      <w:t xml:space="preserve">Izdrukāts 12.12.2023. 22.51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23-TA-2504</w:t>
    </w:r>
    <w:r>
      <w:br/>
    </w:r>
    <w:r w:rsidR="00000000" w:rsidRPr="00000000" w:rsidDel="00000000">
      <w:rPr>
        <w:rtl w:val="0"/>
      </w:rPr>
      <w:t xml:space="preserve">Izdrukāts 12.12.2023. 22.51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Atzinumi_23-TA-2504.docx</dc:title>
</cp:coreProperties>
</file>

<file path=docProps/custom.xml><?xml version="1.0" encoding="utf-8"?>
<Properties xmlns="http://schemas.openxmlformats.org/officeDocument/2006/custom-properties" xmlns:vt="http://schemas.openxmlformats.org/officeDocument/2006/docPropsVTypes"/>
</file>