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23-TA-915: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Maksājumu pakalpojumu un elektroniskās naudas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Latvijas Banka nosaka prasības ārpakalpojuma izmantošanai, tostarp ārpakalpojumu politikā un procedūrās un nozīmīgu ārpakalpojumu līgumos iekļaujamās prasības, Latvijas Bankai iesniedzamos dokumentus un informāciju nozīmīgu ārpakalpojumu saņemšanai, darījumus, kas nav uzskatāmi par ārpakalpojumiem, kārtību, kādā iestāde informē par ārpakalpojumu tālāku deleģēšanu, kā arī kārtību, kādā iestāde identificē nozīmīgus ārpakalpojumus un ziņo par to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kontekstā ar Maksājumu pakalpojumu un elektroniskās naudas likuma (turpmāk - likums) 29. pantā jau ietverto regulējumu nav nepieciešams precizēt likumprojekta 2. pantā ietverto pilnvarojumu Latvijas Bankai vai arī likuma 29. pantu. Piemēram, likuma 29. panta sestā daļa, šķiet, jau noteic ārpakalpojuma procedūrā iekļaujamās prasības (salīdzinājumam aicinām sk. Kredītiestāžu likuma 10.</w:t>
            </w:r>
            <w:r w:rsidR="00000000" w:rsidRPr="00000000" w:rsidDel="00000000">
              <w:rPr>
                <w:vertAlign w:val="superscript"/>
                <w:rtl w:val="0"/>
              </w:rPr>
              <w:t xml:space="preserve">1</w:t>
            </w:r>
            <w:r w:rsidR="00000000" w:rsidRPr="00000000" w:rsidDel="00000000">
              <w:rPr>
                <w:rtl w:val="0"/>
              </w:rPr>
              <w:t xml:space="preserve"> panta piektās daļas formulējumu). Aicinām arī (īpaši ņemot vērā Ministru kabineta 2009. gada 3. februāra noteikumu Nr. 108 "Normatīvo aktu projektu sagatavošanas noteikumi" 121. punktu par to, kad pieļaujams noteikumos skaidrot terminus) izvērtēt iespēju likumā definēt, kas ir uzskatāms par nozīmīgu ārpakalpojumu, ņemot vērā, ka likumā tāds termins nav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izvērtēt un nepieciešamības gadījumā precizēt likumprojektu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Ja Latvijas Banka ir saņēmusi informāciju no citas dalībvalsts iestāžu uzraudzības institūcijas, ka Latvijā licencētas iestādes filiāle vai pārstāvis, kas darbojas citā dalībvalstī, vai licencēta iestāde, kas sniedz finanšu pakalpojumus citā dalībvalstī, neatverot tajā filiāli vai neizmantojot pārstāvi, veic darbības, kas ir pretrunā ar normatīvajiem aktiem, tā nekavējoties pēc informācijas izvērtēšanas veic visus nepieciešamos pasākumus, lai nodrošinātu, ka attiecīgā iestāde novērš konstatēto neatbilstību normatīvajiem aktiem. Latvijas Banka informē citas dalībvalsts iestāžu uzraudzības institūciju par veiktajiem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sakarā ar likuma 51. panta papildināšanu ar 2.</w:t>
            </w:r>
            <w:r w:rsidR="00000000" w:rsidRPr="00000000" w:rsidDel="00000000">
              <w:rPr>
                <w:vertAlign w:val="superscript"/>
                <w:rtl w:val="0"/>
              </w:rPr>
              <w:t xml:space="preserve">1</w:t>
            </w:r>
            <w:r w:rsidR="00000000" w:rsidRPr="00000000" w:rsidDel="00000000">
              <w:rPr>
                <w:rtl w:val="0"/>
              </w:rPr>
              <w:t xml:space="preserve"> daļu nav precizējama panta ceturtā daļa. Nepieciešamības gadījumā aicinām precizēt likumprojektu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"Veicot nepieciešamos pasākumus, Latvijas Banka nodrošina vienlīdzīgu attieksmi pret Latvijas un citas dalībvalsts iestādes maksājumu pakalpojumu lietotājiem un elektroniskās naudas turētājiem. Latvijas Banka nekavējoties informē citas dalībvalsts iestāžu uzraudzības institūciju, Eiropas Komisiju un Eiropas Banku iestādi par veiktajiem pasākumiem un to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likumprojektā lietoto terminoloģiju salāgot ar likumā izmantoto terminoloģiju (piemēram, likumā tiek definēts un lietots termins "maksājumu pakalpojuma </w:t>
            </w:r>
            <w:r w:rsidR="00000000" w:rsidRPr="00000000" w:rsidDel="00000000">
              <w:rPr>
                <w:u w:val="single"/>
                <w:rtl w:val="0"/>
              </w:rPr>
              <w:t xml:space="preserve">izmantotājs</w:t>
            </w:r>
            <w:r w:rsidR="00000000" w:rsidRPr="00000000" w:rsidDel="00000000">
              <w:rPr>
                <w:rtl w:val="0"/>
              </w:rPr>
              <w:t xml:space="preserve">" (sk. likuma 1. panta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5.4. sadaļas 1. tabulā norādīta nekorekta likumprojekta un likuma vienība, kurā pārņemta Eiropas Parlamenta un Padomes 2015.gada 25.novembra Direktīvas (ES) 2015/2366 par maksājumu pakalpojumiem iekšējā tirgū, ar ko groza Direktīvas 2002/65/EK, 2009/110/EK un 2013/36/ES un Regulu (ES) Nr. 1093/2010 un atceļ Direktīvu 2007/64/EK 30. panta 1. punkta otrā daļa. Attiecīgi aicinām novērst kļūdu, norādot korektu likumprojekta un likuma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23-TA-915</w:t>
    </w:r>
    <w:r>
      <w:br/>
    </w:r>
    <w:r w:rsidR="00000000" w:rsidRPr="00000000" w:rsidDel="00000000">
      <w:rPr>
        <w:rtl w:val="0"/>
      </w:rPr>
      <w:t xml:space="preserve">Izdrukāts 19.05.2023. 20.58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23-TA-915</w:t>
    </w:r>
    <w:r>
      <w:br/>
    </w:r>
    <w:r w:rsidR="00000000" w:rsidRPr="00000000" w:rsidDel="00000000">
      <w:rPr>
        <w:rtl w:val="0"/>
      </w:rPr>
      <w:t xml:space="preserve">Izdrukāts 19.05.2023. 20.58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Atzinumi_23-TA-915.docx</dc:title>
</cp:coreProperties>
</file>

<file path=docProps/custom.xml><?xml version="1.0" encoding="utf-8"?>
<Properties xmlns="http://schemas.openxmlformats.org/officeDocument/2006/custom-properties" xmlns:vt="http://schemas.openxmlformats.org/officeDocument/2006/docPropsVTypes"/>
</file>