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atbilstības prasības, nav pamatojumu aprēķina iekļaušanai noteikumu projekta anotācijas 2.4.punktā, attiecīgi lūdzam atzīmēt, ka noteikumu projektam nav ietekmes uz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6.2.punktā minētas konkrētas organizācijas, ar kurām Latvijas filmu padomes sēdē apspriestas ar noteikumu projektu plānotās izmaiņas, lūdzam anotācijas 6.1.punktā norādīt šīs organizācijas (izvēle no klasifikatora, ja biedrība tajā atrodama vai papildināšana, ierakstot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atbilstības prasības, nav pamatojumu noteikumu projekta anotācijas 7.3.punkta aizpildīšanai, attiecīgi lūdzam atzīmēt, ka noteikumu projektam nav ietekmes uz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31.01.2023.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31.01.2023.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Atzinumi_22-TA-3591.docx</dc:title>
</cp:coreProperties>
</file>

<file path=docProps/custom.xml><?xml version="1.0" encoding="utf-8"?>
<Properties xmlns="http://schemas.openxmlformats.org/officeDocument/2006/custom-properties" xmlns:vt="http://schemas.openxmlformats.org/officeDocument/2006/docPropsVTypes"/>
</file>