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1.4.1. specifiskā atbalsta mērķa “Uzlabot digitālo savienojamību” 1.4.1.1. pasākuma “Platjoslas infrastruktūras attīstība (pēdējā jūdze)”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Pasākums tiek īstenots Latvijas teritorijā vietās, kurās nav esoša vai attiecīgajā laikposmā izvēršanai ticami plānota tīkla, kas maksimumstundas apstākļos nodrošinātu vismaz 100 Mb/s lejupielādes ātrumu (robežvērtības ātrums) atbilstoši regulas </w:t>
            </w:r>
            <w:r w:rsidR="00000000" w:rsidRPr="00000000" w:rsidDel="00000000">
              <w:rPr>
                <w:rtl w:val="0"/>
              </w:rPr>
              <w:t xml:space="preserve">Nr. 651/2014 </w:t>
            </w:r>
            <w:r w:rsidR="00000000" w:rsidRPr="00000000" w:rsidDel="00000000">
              <w:rPr>
                <w:rtl w:val="0"/>
              </w:rPr>
              <w:t xml:space="preserve"> 52. panta 3. punkta "a" apakšpunktam, izņemot teritorijas, kas atbilst regulas </w:t>
            </w:r>
            <w:r w:rsidR="00000000" w:rsidRPr="00000000" w:rsidDel="00000000">
              <w:rPr>
                <w:rtl w:val="0"/>
              </w:rPr>
              <w:t xml:space="preserve">Nr. 651/2014</w:t>
            </w:r>
            <w:r w:rsidR="00000000" w:rsidRPr="00000000" w:rsidDel="00000000">
              <w:rPr>
                <w:rtl w:val="0"/>
              </w:rPr>
              <w:t xml:space="preserve"> 52. panta 4. punkta nosacījumiem, ko pārbauda saskaņā ar regulas </w:t>
            </w:r>
            <w:r w:rsidR="00000000" w:rsidRPr="00000000" w:rsidDel="00000000">
              <w:rPr>
                <w:rtl w:val="0"/>
              </w:rPr>
              <w:t xml:space="preserve">Nr. 651/2014</w:t>
            </w:r>
            <w:r w:rsidR="00000000" w:rsidRPr="00000000" w:rsidDel="00000000">
              <w:rPr>
                <w:rtl w:val="0"/>
              </w:rPr>
              <w:t xml:space="preserve"> 52. panta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4. punktā ir daļēji pārrakstīts Eiropas Komisijas 2014. gada 17. jūnija Regulas (ES) Nr. 651/2014, ar ko noteiktas atbalsta kategorijas atzīst par saderīgām ar iekšējo tirgu, piemērojot Līguma 107. un 108. pantu 52. panta 3. punkta "a" apakšpunkts. 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4. punktu, piemēram, svītrojot regulu dublējošās normas un tā vietā ietvert atsauci uz attiecīgo regulas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mērķa grupa ir elektronisko sakaru pakalpojumu galalietotāji, kas atrodas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minētajās teritorijās – mājsaimniecības (mājokļi) un uzņēmumi, kas ir sociālekonomiskie virzītājspēki saskaņā ar regulas </w:t>
            </w:r>
            <w:r w:rsidR="00000000" w:rsidRPr="00000000" w:rsidDel="00000000">
              <w:rPr>
                <w:rtl w:val="0"/>
              </w:rPr>
              <w:t xml:space="preserve">Nr. 651/2014</w:t>
            </w:r>
            <w:r w:rsidR="00000000" w:rsidRPr="00000000" w:rsidDel="00000000">
              <w:rPr>
                <w:rtl w:val="0"/>
              </w:rPr>
              <w:t xml:space="preserve"> 2. panta 139. b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nodrošina komunikācijas un vizuālās identitātes pasākumus atbilstoši nosacījumiem saskaņā ar regulas </w:t>
            </w:r>
            <w:r w:rsidR="00000000" w:rsidRPr="00000000" w:rsidDel="00000000">
              <w:rPr>
                <w:rtl w:val="0"/>
              </w:rPr>
              <w:t xml:space="preserve">Nr. 2021/1060</w:t>
            </w:r>
            <w:r w:rsidR="00000000" w:rsidRPr="00000000" w:rsidDel="00000000">
              <w:rPr>
                <w:rtl w:val="0"/>
              </w:rPr>
              <w:t xml:space="preserve"> 47. pantu un 50. pantu, un kārtību, kādā Eiropas Savienības fondu vadībā iesaistītās institūcijas nodrošina šo fondu ieviešanu 2021.–2027.gada plānošanas periodā, ņemot vērā stratēģiskas nozīmes projektam noteiktās prasības, kas noteiktas vadošās iestādes izstrādāto Eiropas Savienības fondu 2021.–2027. gada plānošanas perioda un Atveseļošanas fonda komunikācijas un dizaina vadlīniju 3. nodaļā “Atveseļošanas fonda prasības”,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37.4. apakšpunktā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finansējuma saņēmējs un partneris (ja attiecināms) nodrošina atsevišķu grāmatvedības uzskaiti par finansējuma izlietojumu projektā, nodalot tā ietvaros veiktās darbības no citas saimnieciskās darbības atbilstoši regulas </w:t>
            </w:r>
            <w:r w:rsidR="00000000" w:rsidRPr="00000000" w:rsidDel="00000000">
              <w:rPr>
                <w:rtl w:val="0"/>
              </w:rPr>
              <w:t xml:space="preserve">651/2014</w:t>
            </w:r>
            <w:r w:rsidR="00000000" w:rsidRPr="00000000" w:rsidDel="00000000">
              <w:rPr>
                <w:rtl w:val="0"/>
              </w:rPr>
              <w:t xml:space="preserve"> 52. panta 11.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45.3. apakšpunkta regulējums, iespējams, dublē 37.8. apakšpunktu. Ņemot vērā minēto, lūdzam izvērtēt, vai 45.3. apakšpunkts atbilst Ministru kabineta 2009. gada 3. februāra noteikumu Nr. 108 "Normatīvo aktu projektu sagatavošanas noteikumi" 3.2. un 3.3. apakšpunktu prasībām par regulējuma skaidrību un izvairīšanos no atkārtošanās, un nepieciešamības gadījumā precizēt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19.11.2024.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19.11.2024.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Atzinumi_24-TA-593.docx</dc:title>
</cp:coreProperties>
</file>

<file path=docProps/custom.xml><?xml version="1.0" encoding="utf-8"?>
<Properties xmlns="http://schemas.openxmlformats.org/officeDocument/2006/custom-properties" xmlns:vt="http://schemas.openxmlformats.org/officeDocument/2006/docPropsVTypes"/>
</file>