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jūnija noteikumos Nr. 339 "Noteikumi par primāri sniedzamā atbalsta nodrošināšanu Ukrainas civiliedzīvotājiem"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2022. gada 8. jūnija noteikumos Nr. 339 "Noteikumi par primāri sniedzamā atbalsta nodrošināšanu Ukrainas civiliedzīvotājiem" (Latvijas Vēstnesis, 2022, 113., 129., 138A., 189.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neatbalsta noteikumu  projekta virzību , jo tas rada  papildus finansiālu slogu, jo pārtikas limita samazinājums un īres proporciju aprēķins praksē nav īstenojams bez pašvaldību līdzfinansējuma;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punktos ir nepieciešami pārejas periodi, lai nenodarītu kaitējumu pašvaldību iepirkumu un līgumu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Ministru kabinetu precizēt noteikumu projektu, lai tas pašvaldībām  būtu finansiāli izpildāms, ievērojot premjeres publiskos  paustos  solījumus  pašvaldībām,   ka grozījumi normatīvajos aktos saistībā ar palīdzibu ukraiņu civiliedzīvotājiem , tām neradīs papildus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konceptuāli atbalsta mērķi aktualizēt primārā atbalsta sniegšanas kārtību, ņemot vērā grozījumus Ukrainas civiliedzīvotāju atbalsta likumā un 2026. gada valsts budžeta samazināto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 ka grozījumu izstrāde nedrīkst radīt papildu finansiālu un administratīvu slogu pašvaldībām, jo valsts līmenī sagatavojot 2026. gada budžetu, Ministru prezidente skaidri pauda, ka pašvaldību budžetiem netiks radīta papildu ietekme saistībā ar Ukrainas civiliedzīvotāju atbalsta sistēmas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kategoriski nepiekrīt anotācijā paustajam, ka projekts “neskar pašvaldību budžetus”.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Reālā ietekme ir acīmredzama: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limita samazinājums radīs tiešu pašvaldību līdzfinansējuma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Īres sadales algoritms radīs administratīvo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finansējuma samazinājums līdz 2,34 miljoniem izmitināšanai un ēdināšanai palielinās sociālā atbalsta slogu pašvaldību sociālajiem dienestiem.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atgādina, ka 2026. gada budžeta sagatavošanas laikā Ministru prezidente uzsvēra, ka izmaiņas Ukrainas civiliedzīvotāju atbalsta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nedrīkst palielināt pašvaldību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valstij ir jākompensē visas ar noteikumu izpildi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anotācija un noteikumu projekts nav saskaņā ar šo valdības solījumu.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pieprasa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pilnu finansiālās ietekmes izvērtējumu un nodrošināt, ka grozījumi netieši nenoved pie pašvaldību līdzfinansējuma.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1</w:t>
            </w:r>
            <w:r w:rsidR="00000000" w:rsidRPr="00000000" w:rsidDel="00000000">
              <w:rPr>
                <w:rtl w:val="0"/>
              </w:rPr>
              <w:t xml:space="preserve"> ja pašvaldība, izvērtējot iespējas piedāvāt attiecīgajam Ukrainas civiliedzīvotājam, kas atbilst kādai no </w:t>
            </w:r>
            <w:r w:rsidR="00000000" w:rsidRPr="00000000" w:rsidDel="00000000">
              <w:rPr>
                <w:rtl w:val="0"/>
              </w:rPr>
              <w:t xml:space="preserve">Ukrainas civiliedzīvotāju atbalsta likuma</w:t>
            </w:r>
            <w:r w:rsidR="00000000" w:rsidRPr="00000000" w:rsidDel="00000000">
              <w:rPr>
                <w:rtl w:val="0"/>
              </w:rPr>
              <w:t xml:space="preserve"> 12. panta 1.</w:t>
            </w:r>
            <w:r w:rsidR="00000000" w:rsidRPr="00000000" w:rsidDel="00000000">
              <w:rPr>
                <w:vertAlign w:val="superscript"/>
                <w:rtl w:val="0"/>
              </w:rPr>
              <w:t xml:space="preserve">2</w:t>
            </w:r>
            <w:r w:rsidR="00000000" w:rsidRPr="00000000" w:rsidDel="00000000">
              <w:rPr>
                <w:rtl w:val="0"/>
              </w:rPr>
              <w:t xml:space="preserve"> daļā minētajām personu grupām, izmitināšanu savā vai citā pašvaldībā un konstatējot, ka nav iespējams to nodrošināt, ievērojot šo noteikumu </w:t>
            </w:r>
            <w:r w:rsidR="00000000" w:rsidRPr="00000000" w:rsidDel="00000000">
              <w:rPr>
                <w:rtl w:val="0"/>
              </w:rPr>
              <w:t xml:space="preserve">5.2.</w:t>
            </w:r>
            <w:r w:rsidR="00000000" w:rsidRPr="00000000" w:rsidDel="00000000">
              <w:rPr>
                <w:rtl w:val="0"/>
              </w:rPr>
              <w:t xml:space="preserve"> apakšpunktā</w:t>
            </w:r>
            <w:r w:rsidR="00000000" w:rsidRPr="00000000" w:rsidDel="00000000">
              <w:rPr>
                <w:rtl w:val="0"/>
              </w:rPr>
              <w:t xml:space="preserve"> minētos izmaksu ierobežojumus, izmitina Ukrainas civiliedzīvotāju pašvaldības īpašumā, valdījumā vai turējumā esošā izmitināšanas vietā vai izmanto citus izmitināšanas veidus un turpina tā izmitināšanu pēc sākotnējā 60 dienu izmitināšanas perioda beigām, pašvaldībai tiek segti izdevumi par Ukrainas civiliedzīvotājiem nodrošināto izmitināšanu vai pakalpojuma sniedzējam samaksātā atlīdzība ne vairāk kā 15 </w:t>
            </w:r>
            <w:r w:rsidR="00000000" w:rsidRPr="00000000" w:rsidDel="00000000">
              <w:rPr>
                <w:i w:val="1"/>
                <w:rtl w:val="0"/>
              </w:rPr>
              <w:t xml:space="preserve">euro </w:t>
            </w:r>
            <w:r w:rsidR="00000000" w:rsidRPr="00000000" w:rsidDel="00000000">
              <w:rPr>
                <w:rtl w:val="0"/>
              </w:rPr>
              <w:t xml:space="preserve">par katru izmitināto personu diennaktī;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paredz valsts apmaksu 15 €/diennaktī tikai tad, ja pašvaldība nav spējīga nodrošināt izmitināšanu izmaksu ierobežojumu dēļ un pati turpina izmitināšanu savā vai citā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konstrukcija nav pietiekami elastīga un praksē var radīt situācijas, kur pašvaldība tiek finansiāli sodīta par objektīvu tirgus situāciju (augstas īres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bieži nav iespējas atrast izmitināšanu tirgus cenās, kas ietilpst 5.2. apakšpunktā noteiktajos limitos;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ukraiņu personu ar īpašām vajadzībām (mazie bērni, veselības problēmas) izmitināšanai bieži pieejamas tikai dārgākas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noteiktais 15 €/diennaktī limits vairākos reģionos joprojām ir nepietiekams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 redakciju paplašināt situāciju loku, kad piemērojams 15 €/diennaktī finansējums — ne tikai gadījumā, kad nav iespējams atrast izmitināšanu, bet arī tad, kad tirgus cenas pārsniedz noteiktos limitus.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2</w:t>
            </w:r>
            <w:r w:rsidR="00000000" w:rsidRPr="00000000" w:rsidDel="00000000">
              <w:rPr>
                <w:rtl w:val="0"/>
              </w:rPr>
              <w:t xml:space="preserve"> Ja Ukrainas civiliedzīvotāju atbalsta likuma 12. panta 1.</w:t>
            </w:r>
            <w:r w:rsidR="00000000" w:rsidRPr="00000000" w:rsidDel="00000000">
              <w:rPr>
                <w:vertAlign w:val="superscript"/>
                <w:rtl w:val="0"/>
              </w:rPr>
              <w:t xml:space="preserve">2</w:t>
            </w:r>
            <w:r w:rsidR="00000000" w:rsidRPr="00000000" w:rsidDel="00000000">
              <w:rPr>
                <w:rtl w:val="0"/>
              </w:rPr>
              <w:t xml:space="preserve"> daļā minēto personu grupu izmitināšana šo noteikumu </w:t>
            </w:r>
            <w:r w:rsidR="00000000" w:rsidRPr="00000000" w:rsidDel="00000000">
              <w:rPr>
                <w:rtl w:val="0"/>
              </w:rPr>
              <w:t xml:space="preserve">5.1. </w:t>
            </w:r>
            <w:r w:rsidR="00000000" w:rsidRPr="00000000" w:rsidDel="00000000">
              <w:rPr>
                <w:rtl w:val="0"/>
              </w:rPr>
              <w:t xml:space="preserve">apakšpunktā</w:t>
            </w:r>
            <w:r w:rsidR="00000000" w:rsidRPr="00000000" w:rsidDel="00000000">
              <w:rPr>
                <w:rtl w:val="0"/>
              </w:rPr>
              <w:t xml:space="preserve"> noteiktajā kārtībā turpinās pēc sākotnējā atbalsta perioda - 60 dienu, beigām un ja attiecīgajā dzīvojamā telpā mitinās arī Ukrainas civiliedzīvotāji, kas neatbilst Ukrainas civiliedzīvotāju likuma 12.panta 1.</w:t>
            </w:r>
            <w:r w:rsidR="00000000" w:rsidRPr="00000000" w:rsidDel="00000000">
              <w:rPr>
                <w:vertAlign w:val="superscript"/>
                <w:rtl w:val="0"/>
              </w:rPr>
              <w:t xml:space="preserve">2</w:t>
            </w:r>
            <w:r w:rsidR="00000000" w:rsidRPr="00000000" w:rsidDel="00000000">
              <w:rPr>
                <w:rtl w:val="0"/>
              </w:rPr>
              <w:t xml:space="preserve"> daļā minētajām personu grupām, īres maksu kompensē tikai attiecībā uz Ukrainas civiliedzīvotāju likuma 12.panta 1.</w:t>
            </w:r>
            <w:r w:rsidR="00000000" w:rsidRPr="00000000" w:rsidDel="00000000">
              <w:rPr>
                <w:vertAlign w:val="superscript"/>
                <w:rtl w:val="0"/>
              </w:rPr>
              <w:t xml:space="preserve">2</w:t>
            </w:r>
            <w:r w:rsidR="00000000" w:rsidRPr="00000000" w:rsidDel="00000000">
              <w:rPr>
                <w:rtl w:val="0"/>
              </w:rPr>
              <w:t xml:space="preserve"> daļā minētajām personu grupām, veicot proporcionālu pārrēķinu.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veikt proporcionālu pārrēķinu starp dažādu statusu personām nav juridiski un tehniski īstenojama.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nevar noteikt faktisko telpu lietošanas proporcijas;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privātajos īres līgumos telpas parasti netiek sadalītas kvadrātmetros uz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pārrēķins var kļūt par strīda iemeslu starp īrniekiem un izīrētāju;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administratīvais slogs un atbildības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proporcionālo aprēķinu ar skaidru un izpildāmu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objektīvi nav iespējams noteikt telpu lietošanas proporciju, īres maksu sadala vienādās daļās pēc personu skaita.”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Ja pašvaldība atbilstoši </w:t>
            </w:r>
            <w:r w:rsidR="00000000" w:rsidRPr="00000000" w:rsidDel="00000000">
              <w:rPr>
                <w:rtl w:val="0"/>
              </w:rPr>
              <w:t xml:space="preserve">Ukrainas civiliedzīvotāju atbalsta likumam</w:t>
            </w:r>
            <w:r w:rsidR="00000000" w:rsidRPr="00000000" w:rsidDel="00000000">
              <w:rPr>
                <w:rtl w:val="0"/>
              </w:rPr>
              <w:t xml:space="preserve"> pieņēma lēmumu par attiecīgo Ukrainas civiliedzīvotāju izmitināšanu līdz 60 dienām, izdevumus par Ukrainas civiliedzīvotājiem nodrošināto izmitināšanu līdz 60 dienām pašvaldībai sedz 100 % apmērā no izmitināšanas faktiskajām izmaksām proporcionāli faktiskajam izmitināšanas dienu skaitam. Organizējot Ukrainas civiliedzīvotāju izmitināšanu, pašvaldība ievēro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5.2. punkta svītrošanu tiek atcelta būtiska elastības norma, kas līdz šim ļāva pašvaldībām rīkoties situācijās, kad bija nepieciešams pārvietot Ukrainas civiliedzīvotājus starp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savstarpējā sadarbība un pārvietošana ir bijusi būtisks instruments, lai novērstu pārslodzi;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svītrojot punktu bez alternatīvas, pašvaldībām tiek atņemts rīks atbalsta organizēšanai.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jaunu punktu, kas paredz pārvietošanas mehānismu sadarbībā ar VARAM, saglabājot pašvaldībām tiesības elastīgi organizēt izmitināšanu.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Izdevumi par Ukrainas civiliedzīvotājiem nodrošināto pārtiku pašvaldībai tiek segti 100 % apmērā no pārtikas nodrošināšanas faktiskajām izmaksām, bet ne vairāk kā piecus </w:t>
            </w:r>
            <w:r w:rsidR="00000000" w:rsidRPr="00000000" w:rsidDel="00000000">
              <w:rPr>
                <w:i w:val="1"/>
                <w:rtl w:val="0"/>
              </w:rPr>
              <w:t xml:space="preserve">euro</w:t>
            </w:r>
            <w:r w:rsidR="00000000" w:rsidRPr="00000000" w:rsidDel="00000000">
              <w:rPr>
                <w:rtl w:val="0"/>
              </w:rPr>
              <w:t xml:space="preserve"> par personu dienā.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euroa dienā nav pietiekami, lai nodrošinātu pilnvērtīgu ēdināšanu ēdināšanas pakalpojuma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ēdināšanas izmaksas pārsniedz 7–10 €/dienā;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veidojas starpība, kas jāsedz no sava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nevar izsludināt iepirkumus par nereāli zemu summu.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Kompromisa piedāvajums  Grozīt  Noteikumu projekta 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 dienā ēdināšanas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 dienā pārtikas produkciju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Viedās administrācijas un reģionālās attīstības ministrija normatīvajos aktos noteiktajā kārtībā sagatavo pieprasījumu finansējuma piešķiršanai no valsts budžeta programmas 17.00.00 "Finansējums Ukrainas civiliedzīvotāju atbalsta likumā noteikto pasākumu īstenošanai" lai, pamatojoties uz pašvaldību sniegto informāciju, segtu šo noteikumu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minētos izdevumus.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punkts neparedz termiņu un kārtību, kā tiek apstrādāta pašvaldību sniegtā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nosacījumu par mēneša pārskatu iesniegšanas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garantiju, ka valsts finansējums tiek pārskaitīts ne vēlāk kā 30 dienu laikā no pieprasījuma iesniegšanas.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pašvaldība Ukrainas civiliedzīvotājiem pārtiku nodrošina, sniedzot ēdināšanas pakalpojumu,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minētie izmaksu ierobežojumi tiek piemēroti no 2026. gada 1. marta.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1. marts ir pārāk īss, lai pašvaldības spētu pārslēgt esošos ēdināšanas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līgumi ar ēdinātājiem bieži ir noslēgti uz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cenu grozīšana vai jauna iepirkuma izsludināšana prasa 40–60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var rasties tiesiski strīdi par līgumu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12.2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termīnu “1. marts” aizstāt ar “1. aprīlis”.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25-TA-3007</w:t>
    </w:r>
    <w:r>
      <w:br/>
    </w:r>
    <w:r w:rsidR="00000000" w:rsidRPr="00000000" w:rsidDel="00000000">
      <w:rPr>
        <w:rtl w:val="0"/>
      </w:rPr>
      <w:t xml:space="preserve">Izdrukāts 26.01.2026. 09.38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25-TA-3007</w:t>
    </w:r>
    <w:r>
      <w:br/>
    </w:r>
    <w:r w:rsidR="00000000" w:rsidRPr="00000000" w:rsidDel="00000000">
      <w:rPr>
        <w:rtl w:val="0"/>
      </w:rPr>
      <w:t xml:space="preserve">Izdrukāts 26.01.2026. 09.38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Atzinumi_25-TA-3007.docx</dc:title>
</cp:coreProperties>
</file>

<file path=docProps/custom.xml><?xml version="1.0" encoding="utf-8"?>
<Properties xmlns="http://schemas.openxmlformats.org/officeDocument/2006/custom-properties" xmlns:vt="http://schemas.openxmlformats.org/officeDocument/2006/docPropsVTypes"/>
</file>