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21.2.1. projekta vadībā un īstenošanā iesaistītais personāls ir informēts par korupcijas un interešu konflikta novēršanas jautājumiem un krāpšanas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interpretāciju par finansējuma saņēmēja un sadarbības partnera izpildāmajām prasībām un projekta ietvaros veicamajiem pienākumiem, atkārtoti lūdzam izvērtēt un nepieciešamības gadījumā papildināt noteikumu projektu, ka </w:t>
            </w:r>
            <w:r w:rsidR="00000000" w:rsidRPr="00000000" w:rsidDel="00000000">
              <w:rPr>
                <w:u w:val="single"/>
                <w:rtl w:val="0"/>
              </w:rPr>
              <w:t xml:space="preserve">finansējuma saņēmējs un sadarbības partneris ir parakstījuši apliecinājumu</w:t>
            </w:r>
            <w:r w:rsidR="00000000" w:rsidRPr="00000000" w:rsidDel="00000000">
              <w:rPr>
                <w:rtl w:val="0"/>
              </w:rPr>
              <w:t xml:space="preserve"> par interešu konflikta neesamību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atbilstoši 2023. gada 8. decembra Padomes īstenošanas lēmuma pielikumam 120. atskaites punkta sasniegšanas termiņš ir 2026.gada 1.ceturksnis, attiecīgi lūdzam anotācijas 1.3.sadaļā "Risinājuma apraksts" precizēt 120. atskaites punkta sasniegšanas datumu, norādot 2026.gada 31.</w:t>
            </w:r>
            <w:r w:rsidR="00000000" w:rsidRPr="00000000" w:rsidDel="00000000">
              <w:rPr>
                <w:u w:val="single"/>
                <w:rtl w:val="0"/>
              </w:rPr>
              <w:t xml:space="preserve">martu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norādot, ka finansējums 3.1.2.2.i. investīcijas īstenošanai tiks pārdalīts no budžeta resora “74.Gadskārtējā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11.03.2024. 21.33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11.03.2024. 21.33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