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sistēmā apstrādājamie dati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Izvērtējama projekta atbilstība valsts informācijas sistēmas izveidošanas prasībām un izveidotās normatīvo tiesību aktu sistēmas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informācijas sistēmu likuma 5. panta 1.1 daļa noteic, ka valsts informācijas sistēmu izmanto, pamatojoties uz ārējiem normatīvajiem aktiem, kuros norāda valsts informācijas sistēmā iekļaujamo informāciju funkciju, uzdevumu un mērķu sasniegšanai. Savukārt Valsts informācijas sistēmu likuma 5. panta 1.2  daļa noteic, ka Ministru kabineta noteikumos regulē valsts informācijas sistēmā iekļaujamās informācijas apjomu. No minētā izriet, ka likumā ir nosakāma informācijas sistēmā iekļaujamā informācija, bet Ministru kabineta noteikumos detalizējams informācijas sistēmā iekļaujamās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projekta atbilstību Valsts informācijas sistēmu likumā noteiktajām valsts informācijas sistēmas izveidošanas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Speciālo zināšanu apguves regulējums ir sadalīts starp šo projektu un Ministru kabineta noteikumu projektu "Noteikumi par speciālajām zināšanām bērnu tiesību aizsardzības jomā" (25-TA-75). Līdz ar to izvērtējams, vai šāds regulējuma sadalījums patiešām ir optimāls no normatīvā regulējuma skaidrības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anotācijā būtu jāietver vismaz minimāls skaidrojums par projektā esošo regulējumu. Lai arī atsauces uz citiem normatīvo aktu projektiem ir pieļaujamas, tās nevar aizstāt skaidrojumu par šo projektu. Ņemot vērā minēto, lūdzam attiecīgi papildināt projekta anotāciju, nodrošinot pilnīgu informāciju par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jebkura privātpersona vai institūcija – publiski pieejamo informāciju par speciālistu normatīvajos aktos par speciālo zināšanu apguvi bērnu tiesību aizsardzības jomā noteiktajā apjomā, lai pārliecinātos, ka speciālists ir apguvis speciālās zināšanas bērnu tiesību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Projekts nenoteic publiski pieejamās informācijas apjomu par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anotācijas 8.1.13. apakšsadaļai, publiski pieejamā informācija par speciālistiem ir būtisks regulējuma elements, kas nodrošina caurskatāmību un ļauj darba devējiem, iestādēm un citām ieinteresētajām personām pārliecināties par speciālista kvalifikācijas aktualitāti un derīgumu. Tomēr projekts nekonkretizē, kāds informācijas apjoms būs publiski pieejams un kā tiks nodrošināta šīs informācijas precizitāte un nepārprotama attiecināmība uz konkrētu personu. Lai arī informācijas apjoms varētu būt secināms no projektā "Noteikumi par speciālajām zināšanām bērnu tiesību aizsardzības jomā" paredzētā regulējuma, tomēr pirmšķietami tas vairāk atbilst šā projekta regulēšanas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gadījumos, kad vairākiem speciālistiem sakrīt vārds un uzvārds, bez papildu identifikatoriem (piemēram, unikāla speciālista identifikācijas numura), var būt apgrūtināta iespēja pārliecināties par konkrētā speciālista zināšanu apguvi un kvalifikācijas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kādi risinājumi tiks izmantoti, lai nodrošinātu speciālistu nepārprotamu identificēšanu.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anotācija nesatur skaidrojumu par personas datu apstrādi pēc glabāšanas termiņa beigām un administratīvā pārkāpuma procesa ietekmi uz datu glabāšanas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"e" apakšpunkts noteic, ka dati tiek glabāti veidā, kas pieļauj datu subjektu identifikāciju, ne ilgāk kā nepieciešams nolūkiem, kādos attiecīgos personas datus apstrādā (glabāšanas ierobežojuma princips). Vienlaikus Datu regula noteic izņēmumus – personas datus var glabāt ilgāk, ciktāl personas datus apstrādās tikai arhivēšanas nolūkos sabiedrības interesēs, zinātniskās vai vēstures pētniecības nolūkos un citos Datu regulā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projekta anotācijā norādīt, vai pēc glabāšanas termiņa beigām personas dati tiek dzēsti vai arhivēti.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anotācijas 8.1.13. apakšsadaļā norādīts: "Informācijai par speciālistam izsniegtu apliecinājumu var būt tieša nozīme, piemēram, kriminālprocesā vai administratīvā pārkāpuma procesā, kurā iesaistīta nepilngadīga persona". Tomēr projekta anotācija nesatur skaidrojumu par to, kā administratīvā pārkāpuma process var ietekmēt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projekta anotāciju ar skaidrojumu par administratīvā pārkāpuma procesa iespējamo ietekmi uz personas datu glabāšanas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Birze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28.04.2026.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28.04.2026.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