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68A00" w14:textId="77777777" w:rsidR="00AF6E6C" w:rsidRPr="003E562D" w:rsidRDefault="00C85AFC" w:rsidP="00C80C2D">
      <w:pPr>
        <w:widowControl/>
        <w:spacing w:after="0" w:line="360" w:lineRule="auto"/>
        <w:jc w:val="center"/>
        <w:rPr>
          <w:rFonts w:ascii="Times New Roman" w:eastAsia="Times New Roman" w:hAnsi="Times New Roman"/>
          <w:noProof/>
          <w:sz w:val="25"/>
          <w:szCs w:val="25"/>
        </w:rPr>
      </w:pPr>
      <w:r w:rsidRPr="003E562D">
        <w:rPr>
          <w:rFonts w:ascii="Times New Roman" w:eastAsia="Times New Roman" w:hAnsi="Times New Roman"/>
          <w:noProof/>
          <w:sz w:val="25"/>
          <w:szCs w:val="25"/>
        </w:rPr>
        <w:t>Rīgā</w:t>
      </w:r>
    </w:p>
    <w:p w14:paraId="4718E1B0" w14:textId="77777777" w:rsidR="00AF6E6C" w:rsidRPr="003E562D" w:rsidRDefault="00C85AFC" w:rsidP="007172E7">
      <w:pPr>
        <w:widowControl/>
        <w:spacing w:before="120" w:after="0" w:line="360" w:lineRule="auto"/>
        <w:jc w:val="both"/>
        <w:rPr>
          <w:rFonts w:ascii="Times New Roman" w:eastAsia="Times New Roman" w:hAnsi="Times New Roman"/>
          <w:noProof/>
          <w:sz w:val="25"/>
          <w:szCs w:val="25"/>
        </w:rPr>
      </w:pPr>
      <w:r w:rsidRPr="003E562D">
        <w:rPr>
          <w:rFonts w:ascii="Times New Roman" w:hAnsi="Times New Roman"/>
          <w:noProof/>
          <w:sz w:val="25"/>
          <w:szCs w:val="25"/>
        </w:rPr>
        <w:t>23.08.2024</w:t>
      </w:r>
      <w:r w:rsidRPr="003E562D">
        <w:rPr>
          <w:rFonts w:ascii="Times New Roman" w:eastAsia="Times New Roman" w:hAnsi="Times New Roman"/>
          <w:noProof/>
          <w:sz w:val="25"/>
          <w:szCs w:val="25"/>
        </w:rPr>
        <w:t>. Nr.</w:t>
      </w:r>
      <w:r w:rsidR="002E1A6C" w:rsidRPr="003E562D">
        <w:rPr>
          <w:rFonts w:ascii="Times New Roman" w:eastAsia="Times New Roman" w:hAnsi="Times New Roman"/>
          <w:noProof/>
          <w:sz w:val="25"/>
          <w:szCs w:val="25"/>
        </w:rPr>
        <w:t> </w:t>
      </w:r>
      <w:r w:rsidRPr="003E562D">
        <w:rPr>
          <w:rFonts w:ascii="Times New Roman" w:hAnsi="Times New Roman"/>
          <w:noProof/>
          <w:sz w:val="25"/>
          <w:szCs w:val="25"/>
        </w:rPr>
        <w:t>2.-2/7251</w:t>
      </w:r>
    </w:p>
    <w:p w14:paraId="209705EB" w14:textId="77777777" w:rsidR="00AF6E6C" w:rsidRPr="003E562D" w:rsidRDefault="00C85AFC" w:rsidP="003E562D">
      <w:pPr>
        <w:widowControl/>
        <w:spacing w:after="240" w:line="360" w:lineRule="auto"/>
        <w:jc w:val="both"/>
        <w:rPr>
          <w:rFonts w:ascii="Times New Roman" w:eastAsia="Times New Roman" w:hAnsi="Times New Roman"/>
          <w:noProof/>
          <w:sz w:val="25"/>
          <w:szCs w:val="25"/>
        </w:rPr>
      </w:pPr>
      <w:r w:rsidRPr="003E562D">
        <w:rPr>
          <w:rFonts w:ascii="Times New Roman" w:eastAsia="Times New Roman" w:hAnsi="Times New Roman"/>
          <w:noProof/>
          <w:sz w:val="25"/>
          <w:szCs w:val="25"/>
        </w:rPr>
        <w:t xml:space="preserve">Uz </w:t>
      </w:r>
      <w:r w:rsidRPr="003E562D">
        <w:rPr>
          <w:rFonts w:ascii="Times New Roman" w:hAnsi="Times New Roman"/>
          <w:noProof/>
          <w:sz w:val="25"/>
          <w:szCs w:val="25"/>
        </w:rPr>
        <w:t>09.08.2024</w:t>
      </w:r>
      <w:r w:rsidRPr="003E562D">
        <w:rPr>
          <w:rFonts w:ascii="Times New Roman" w:eastAsia="Times New Roman" w:hAnsi="Times New Roman"/>
          <w:noProof/>
          <w:sz w:val="25"/>
          <w:szCs w:val="25"/>
        </w:rPr>
        <w:t>. Nr.</w:t>
      </w:r>
      <w:r w:rsidR="002E1A6C" w:rsidRPr="003E562D">
        <w:rPr>
          <w:rFonts w:ascii="Times New Roman" w:eastAsia="Times New Roman" w:hAnsi="Times New Roman"/>
          <w:noProof/>
          <w:sz w:val="25"/>
          <w:szCs w:val="25"/>
        </w:rPr>
        <w:t> </w:t>
      </w:r>
      <w:r w:rsidR="003E562D" w:rsidRPr="003E562D">
        <w:rPr>
          <w:rFonts w:ascii="Times New Roman" w:eastAsia="Times New Roman" w:hAnsi="Times New Roman"/>
          <w:noProof/>
          <w:sz w:val="25"/>
          <w:szCs w:val="25"/>
        </w:rPr>
        <w:t>bn</w:t>
      </w:r>
    </w:p>
    <w:p w14:paraId="5CCABED8" w14:textId="77777777" w:rsidR="00302F72" w:rsidRPr="003E562D" w:rsidRDefault="00C85AFC" w:rsidP="00302F72">
      <w:pPr>
        <w:widowControl/>
        <w:spacing w:after="0" w:line="240" w:lineRule="auto"/>
        <w:ind w:left="5103"/>
        <w:rPr>
          <w:rFonts w:ascii="Times New Roman" w:eastAsia="Times New Roman" w:hAnsi="Times New Roman"/>
          <w:b/>
          <w:sz w:val="25"/>
          <w:szCs w:val="25"/>
        </w:rPr>
      </w:pPr>
      <w:r w:rsidRPr="003E562D">
        <w:rPr>
          <w:rFonts w:ascii="Times New Roman" w:eastAsia="Times New Roman" w:hAnsi="Times New Roman"/>
          <w:b/>
          <w:sz w:val="25"/>
          <w:szCs w:val="25"/>
        </w:rPr>
        <w:t>Ekonomikas ministrijai</w:t>
      </w:r>
    </w:p>
    <w:p w14:paraId="69084054" w14:textId="77777777" w:rsidR="00302F72" w:rsidRPr="003E562D" w:rsidRDefault="00C85AFC" w:rsidP="00302F72">
      <w:pPr>
        <w:widowControl/>
        <w:spacing w:after="0" w:line="240" w:lineRule="auto"/>
        <w:ind w:left="5103"/>
        <w:rPr>
          <w:rFonts w:ascii="Times New Roman" w:eastAsia="Times New Roman" w:hAnsi="Times New Roman"/>
          <w:b/>
          <w:sz w:val="25"/>
          <w:szCs w:val="25"/>
          <w:u w:val="single"/>
        </w:rPr>
      </w:pPr>
      <w:r w:rsidRPr="003E562D">
        <w:rPr>
          <w:rFonts w:ascii="Times New Roman" w:eastAsia="Times New Roman" w:hAnsi="Times New Roman"/>
          <w:b/>
          <w:sz w:val="25"/>
          <w:szCs w:val="25"/>
        </w:rPr>
        <w:t>Paziņošanai e-Adresē</w:t>
      </w:r>
    </w:p>
    <w:p w14:paraId="7C98CAE0" w14:textId="77777777" w:rsidR="00302F72" w:rsidRPr="003E562D" w:rsidRDefault="00C85AFC" w:rsidP="00302F72">
      <w:pPr>
        <w:widowControl/>
        <w:spacing w:before="240" w:after="240" w:line="240" w:lineRule="auto"/>
        <w:jc w:val="both"/>
        <w:rPr>
          <w:rFonts w:ascii="Times New Roman" w:hAnsi="Times New Roman"/>
          <w:sz w:val="25"/>
          <w:szCs w:val="25"/>
        </w:rPr>
      </w:pPr>
      <w:r w:rsidRPr="003E562D">
        <w:rPr>
          <w:rFonts w:ascii="Times New Roman" w:hAnsi="Times New Roman"/>
          <w:i/>
          <w:sz w:val="25"/>
          <w:szCs w:val="25"/>
        </w:rPr>
        <w:t xml:space="preserve">Par noteikumu projektiem “Grozījumi Ministru kabineta 2015. gada 15. septembra noteikumos Nr.524 </w:t>
      </w:r>
      <w:r w:rsidR="0024516C" w:rsidRPr="003E562D">
        <w:rPr>
          <w:rFonts w:ascii="Times New Roman" w:hAnsi="Times New Roman"/>
          <w:i/>
          <w:sz w:val="25"/>
          <w:szCs w:val="25"/>
        </w:rPr>
        <w:t>“</w:t>
      </w:r>
      <w:r w:rsidRPr="003E562D">
        <w:rPr>
          <w:rFonts w:ascii="Times New Roman" w:hAnsi="Times New Roman"/>
          <w:i/>
          <w:sz w:val="25"/>
          <w:szCs w:val="25"/>
        </w:rPr>
        <w:t>Kārtība, kādā nosaka, aprēķina un uzskaita katra dzīvojamās mājas īpašnieka maksājamo daļu par dzīvojamās mājas uzturēšanai nepieciešamajiem pakalpojumiem”” u</w:t>
      </w:r>
      <w:r w:rsidRPr="003E562D">
        <w:rPr>
          <w:rFonts w:ascii="Times New Roman" w:hAnsi="Times New Roman"/>
          <w:i/>
          <w:sz w:val="25"/>
          <w:szCs w:val="25"/>
        </w:rPr>
        <w:t xml:space="preserve">n “Grozījumi Ministru kabineta 2020. gada 10. decembra noteikumos Nr.730 </w:t>
      </w:r>
      <w:r w:rsidR="0024516C" w:rsidRPr="003E562D">
        <w:rPr>
          <w:rFonts w:ascii="Times New Roman" w:hAnsi="Times New Roman"/>
          <w:i/>
          <w:sz w:val="25"/>
          <w:szCs w:val="25"/>
        </w:rPr>
        <w:t>“</w:t>
      </w:r>
      <w:r w:rsidRPr="003E562D">
        <w:rPr>
          <w:rFonts w:ascii="Times New Roman" w:hAnsi="Times New Roman"/>
          <w:i/>
          <w:sz w:val="25"/>
          <w:szCs w:val="25"/>
        </w:rPr>
        <w:t>Ekspluatējamu ēku energoefektivitātes minimālās prasības””</w:t>
      </w:r>
    </w:p>
    <w:p w14:paraId="0CABF6F4" w14:textId="77777777" w:rsidR="00302F72" w:rsidRPr="003E562D" w:rsidRDefault="00C85AFC" w:rsidP="0024516C">
      <w:pPr>
        <w:widowControl/>
        <w:spacing w:after="0" w:line="240" w:lineRule="auto"/>
        <w:ind w:firstLine="720"/>
        <w:contextualSpacing/>
        <w:jc w:val="both"/>
        <w:rPr>
          <w:rFonts w:ascii="Times New Roman" w:hAnsi="Times New Roman"/>
          <w:sz w:val="25"/>
          <w:szCs w:val="25"/>
        </w:rPr>
      </w:pPr>
      <w:r w:rsidRPr="003E562D">
        <w:rPr>
          <w:rFonts w:ascii="Times New Roman" w:hAnsi="Times New Roman"/>
          <w:sz w:val="25"/>
          <w:szCs w:val="25"/>
        </w:rPr>
        <w:t xml:space="preserve">Patērētāju tiesību aizsardzības centrs (turpmāk – </w:t>
      </w:r>
      <w:r w:rsidRPr="003E562D">
        <w:rPr>
          <w:rFonts w:ascii="Times New Roman" w:hAnsi="Times New Roman"/>
          <w:i/>
          <w:sz w:val="25"/>
          <w:szCs w:val="25"/>
        </w:rPr>
        <w:t>PTAC</w:t>
      </w:r>
      <w:r w:rsidRPr="003E562D">
        <w:rPr>
          <w:rFonts w:ascii="Times New Roman" w:hAnsi="Times New Roman"/>
          <w:sz w:val="25"/>
          <w:szCs w:val="25"/>
        </w:rPr>
        <w:t xml:space="preserve">), izvērtējot 2024.gada 9.augustā saņemtos noteikumu projektus – </w:t>
      </w:r>
      <w:r w:rsidR="0024516C" w:rsidRPr="003E562D">
        <w:rPr>
          <w:rFonts w:ascii="Times New Roman" w:hAnsi="Times New Roman"/>
          <w:sz w:val="25"/>
          <w:szCs w:val="25"/>
        </w:rPr>
        <w:t>“</w:t>
      </w:r>
      <w:r w:rsidRPr="003E562D">
        <w:rPr>
          <w:rFonts w:ascii="Times New Roman" w:hAnsi="Times New Roman"/>
          <w:sz w:val="25"/>
          <w:szCs w:val="25"/>
        </w:rPr>
        <w:t xml:space="preserve">Grozījumi Ministru kabineta 2015.gada 15.septembra noteikumos Nr.524 </w:t>
      </w:r>
      <w:r w:rsidR="0024516C" w:rsidRPr="003E562D">
        <w:rPr>
          <w:rFonts w:ascii="Times New Roman" w:hAnsi="Times New Roman"/>
          <w:sz w:val="25"/>
          <w:szCs w:val="25"/>
        </w:rPr>
        <w:t>“</w:t>
      </w:r>
      <w:r w:rsidRPr="003E562D">
        <w:rPr>
          <w:rFonts w:ascii="Times New Roman" w:hAnsi="Times New Roman"/>
          <w:sz w:val="25"/>
          <w:szCs w:val="25"/>
        </w:rPr>
        <w:t>Kārtība, kādā nosaka, aprēķina un uzskaita katra dzīvojamās mājas īpašnieka maksājamo daļu par dzīvojamās mājas uzturēša</w:t>
      </w:r>
      <w:r w:rsidRPr="003E562D">
        <w:rPr>
          <w:rFonts w:ascii="Times New Roman" w:hAnsi="Times New Roman"/>
          <w:sz w:val="25"/>
          <w:szCs w:val="25"/>
        </w:rPr>
        <w:t>nai nepieciešamajiem pakalpojumiem</w:t>
      </w:r>
      <w:r w:rsidR="0024516C" w:rsidRPr="003E562D">
        <w:rPr>
          <w:rFonts w:ascii="Times New Roman" w:hAnsi="Times New Roman"/>
          <w:sz w:val="25"/>
          <w:szCs w:val="25"/>
        </w:rPr>
        <w:t>””</w:t>
      </w:r>
      <w:r w:rsidRPr="003E562D">
        <w:rPr>
          <w:rFonts w:ascii="Times New Roman" w:hAnsi="Times New Roman"/>
          <w:sz w:val="25"/>
          <w:szCs w:val="25"/>
        </w:rPr>
        <w:t xml:space="preserve"> (turpmāk – </w:t>
      </w:r>
      <w:r w:rsidRPr="003E562D">
        <w:rPr>
          <w:rFonts w:ascii="Times New Roman" w:hAnsi="Times New Roman"/>
          <w:i/>
          <w:sz w:val="25"/>
          <w:szCs w:val="25"/>
        </w:rPr>
        <w:t>Noteikumu Nr.524 projekts</w:t>
      </w:r>
      <w:r w:rsidRPr="003E562D">
        <w:rPr>
          <w:rFonts w:ascii="Times New Roman" w:hAnsi="Times New Roman"/>
          <w:sz w:val="25"/>
          <w:szCs w:val="25"/>
        </w:rPr>
        <w:t xml:space="preserve">) un </w:t>
      </w:r>
      <w:r w:rsidR="0024516C" w:rsidRPr="003E562D">
        <w:rPr>
          <w:rFonts w:ascii="Times New Roman" w:hAnsi="Times New Roman"/>
          <w:sz w:val="25"/>
          <w:szCs w:val="25"/>
        </w:rPr>
        <w:t>“</w:t>
      </w:r>
      <w:r w:rsidRPr="003E562D">
        <w:rPr>
          <w:rFonts w:ascii="Times New Roman" w:hAnsi="Times New Roman"/>
          <w:sz w:val="25"/>
          <w:szCs w:val="25"/>
        </w:rPr>
        <w:t xml:space="preserve">Grozījumi Ministru kabineta 2020.gada 10.decembra noteikumos Nr.730 </w:t>
      </w:r>
      <w:r w:rsidR="0024516C" w:rsidRPr="003E562D">
        <w:rPr>
          <w:rFonts w:ascii="Times New Roman" w:hAnsi="Times New Roman"/>
          <w:sz w:val="25"/>
          <w:szCs w:val="25"/>
        </w:rPr>
        <w:t>“</w:t>
      </w:r>
      <w:r w:rsidRPr="003E562D">
        <w:rPr>
          <w:rFonts w:ascii="Times New Roman" w:hAnsi="Times New Roman"/>
          <w:sz w:val="25"/>
          <w:szCs w:val="25"/>
        </w:rPr>
        <w:t xml:space="preserve">Ekspluatējamu ēku energoefektivitātes minimālās prasības”” (turpmāk  – </w:t>
      </w:r>
      <w:r w:rsidRPr="003E562D">
        <w:rPr>
          <w:rFonts w:ascii="Times New Roman" w:hAnsi="Times New Roman"/>
          <w:i/>
          <w:sz w:val="25"/>
          <w:szCs w:val="25"/>
        </w:rPr>
        <w:t>Noteikumu Nr.730 projekts</w:t>
      </w:r>
      <w:r w:rsidRPr="003E562D">
        <w:rPr>
          <w:rFonts w:ascii="Times New Roman" w:hAnsi="Times New Roman"/>
          <w:iCs/>
          <w:sz w:val="25"/>
          <w:szCs w:val="25"/>
        </w:rPr>
        <w:t>)</w:t>
      </w:r>
      <w:r w:rsidRPr="003E562D">
        <w:rPr>
          <w:rFonts w:ascii="Times New Roman" w:hAnsi="Times New Roman"/>
          <w:sz w:val="25"/>
          <w:szCs w:val="25"/>
        </w:rPr>
        <w:t xml:space="preserve"> sniedz tur</w:t>
      </w:r>
      <w:r w:rsidRPr="003E562D">
        <w:rPr>
          <w:rFonts w:ascii="Times New Roman" w:hAnsi="Times New Roman"/>
          <w:sz w:val="25"/>
          <w:szCs w:val="25"/>
        </w:rPr>
        <w:t>pmāko atzinumu.</w:t>
      </w:r>
    </w:p>
    <w:p w14:paraId="3C2DA09E" w14:textId="77777777" w:rsidR="00302F72" w:rsidRPr="003E562D" w:rsidRDefault="00302F72" w:rsidP="00302F72">
      <w:pPr>
        <w:widowControl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</w:rPr>
      </w:pPr>
    </w:p>
    <w:p w14:paraId="3D77AD28" w14:textId="77777777" w:rsidR="00302F72" w:rsidRPr="003E562D" w:rsidRDefault="00C85AFC" w:rsidP="00302F72">
      <w:pPr>
        <w:widowControl/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/>
          <w:b/>
          <w:bCs/>
          <w:sz w:val="25"/>
          <w:szCs w:val="25"/>
        </w:rPr>
      </w:pPr>
      <w:bookmarkStart w:id="0" w:name="_Hlk175144576"/>
      <w:r w:rsidRPr="003E562D">
        <w:rPr>
          <w:rFonts w:ascii="Times New Roman" w:eastAsia="Times New Roman" w:hAnsi="Times New Roman"/>
          <w:b/>
          <w:bCs/>
          <w:i/>
          <w:iCs/>
          <w:sz w:val="25"/>
          <w:szCs w:val="25"/>
        </w:rPr>
        <w:t xml:space="preserve">Noteikumu projekta 524 </w:t>
      </w:r>
      <w:r w:rsidRPr="003E562D">
        <w:rPr>
          <w:rFonts w:ascii="Times New Roman" w:eastAsia="Times New Roman" w:hAnsi="Times New Roman"/>
          <w:b/>
          <w:bCs/>
          <w:sz w:val="25"/>
          <w:szCs w:val="25"/>
        </w:rPr>
        <w:t>3.</w:t>
      </w:r>
      <w:r w:rsidRPr="003E562D">
        <w:rPr>
          <w:rFonts w:ascii="Times New Roman" w:eastAsia="Times New Roman" w:hAnsi="Times New Roman"/>
          <w:b/>
          <w:bCs/>
          <w:sz w:val="25"/>
          <w:szCs w:val="25"/>
          <w:vertAlign w:val="superscript"/>
        </w:rPr>
        <w:t>1</w:t>
      </w:r>
      <w:r w:rsidRPr="003E562D">
        <w:rPr>
          <w:rFonts w:ascii="Times New Roman" w:eastAsia="Times New Roman" w:hAnsi="Times New Roman"/>
          <w:b/>
          <w:bCs/>
          <w:sz w:val="25"/>
          <w:szCs w:val="25"/>
        </w:rPr>
        <w:t xml:space="preserve"> punkts un 3.punkts, 19.</w:t>
      </w:r>
      <w:r w:rsidRPr="003E562D">
        <w:rPr>
          <w:rFonts w:ascii="Times New Roman" w:eastAsia="Times New Roman" w:hAnsi="Times New Roman"/>
          <w:b/>
          <w:bCs/>
          <w:sz w:val="25"/>
          <w:szCs w:val="25"/>
          <w:vertAlign w:val="superscript"/>
        </w:rPr>
        <w:t>6</w:t>
      </w:r>
      <w:r w:rsidRPr="003E562D">
        <w:rPr>
          <w:rFonts w:ascii="Times New Roman" w:eastAsia="Times New Roman" w:hAnsi="Times New Roman"/>
          <w:b/>
          <w:bCs/>
          <w:sz w:val="25"/>
          <w:szCs w:val="25"/>
        </w:rPr>
        <w:t>1. apakšpunkts, 33.punkts.</w:t>
      </w:r>
    </w:p>
    <w:bookmarkEnd w:id="0"/>
    <w:p w14:paraId="333AB69E" w14:textId="77777777" w:rsidR="00302F72" w:rsidRPr="003E562D" w:rsidRDefault="00302F72" w:rsidP="00302F72">
      <w:pPr>
        <w:widowControl/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b/>
          <w:bCs/>
          <w:sz w:val="25"/>
          <w:szCs w:val="25"/>
        </w:rPr>
      </w:pPr>
    </w:p>
    <w:p w14:paraId="6E7C9221" w14:textId="77777777" w:rsidR="00302F72" w:rsidRPr="003E562D" w:rsidRDefault="00C85AFC" w:rsidP="00302F72">
      <w:pPr>
        <w:widowControl/>
        <w:spacing w:after="0" w:line="240" w:lineRule="auto"/>
        <w:ind w:firstLine="720"/>
        <w:contextualSpacing/>
        <w:jc w:val="both"/>
        <w:rPr>
          <w:rFonts w:ascii="Times New Roman" w:eastAsia="Times New Roman" w:hAnsi="Times New Roman"/>
          <w:sz w:val="25"/>
          <w:szCs w:val="25"/>
        </w:rPr>
      </w:pPr>
      <w:r w:rsidRPr="003E562D">
        <w:rPr>
          <w:rFonts w:ascii="Times New Roman" w:eastAsia="Times New Roman" w:hAnsi="Times New Roman"/>
          <w:sz w:val="25"/>
          <w:szCs w:val="25"/>
        </w:rPr>
        <w:t xml:space="preserve">Izvērtējot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>Noteikumu projekta 524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 redakciju,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>PTAC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 secina, ka ar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>Noteikumu Nr.524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 grozījumiem siltumenerģijas patēriņa noteikšanas sistēmas sensoriem (turpmāk –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>Temperatūras sensori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), kā arī siltumenerģijas uzskaites (sadales) sistēmai (turpmāk –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>Siltumenerģijas uzskaites sistēma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) ir paredzēts piemērot likuma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 xml:space="preserve">“Par mērījumu vienotību” </w:t>
      </w:r>
      <w:r w:rsidRPr="003E562D">
        <w:rPr>
          <w:rFonts w:ascii="Times New Roman" w:eastAsia="Times New Roman" w:hAnsi="Times New Roman"/>
          <w:sz w:val="25"/>
          <w:szCs w:val="25"/>
        </w:rPr>
        <w:t>p</w:t>
      </w:r>
      <w:r w:rsidRPr="003E562D">
        <w:rPr>
          <w:rFonts w:ascii="Times New Roman" w:eastAsia="Times New Roman" w:hAnsi="Times New Roman"/>
          <w:sz w:val="25"/>
          <w:szCs w:val="25"/>
        </w:rPr>
        <w:t>rasības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 xml:space="preserve">. 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Vēršam uzmanību, ka atbilstoši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>Noteikumu Nr.289</w:t>
      </w:r>
      <w:r>
        <w:rPr>
          <w:rFonts w:ascii="Times New Roman" w:eastAsia="Times New Roman" w:hAnsi="Times New Roman"/>
          <w:sz w:val="25"/>
          <w:szCs w:val="25"/>
          <w:vertAlign w:val="superscript"/>
        </w:rPr>
        <w:footnoteReference w:id="1"/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 xml:space="preserve"> 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pielikumā norādītajam,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>Temperatūras sensori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 un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 xml:space="preserve">Siltumenerģijas uzskaites sistēma </w:t>
      </w:r>
      <w:r w:rsidRPr="003E562D">
        <w:rPr>
          <w:rFonts w:ascii="Times New Roman" w:eastAsia="Times New Roman" w:hAnsi="Times New Roman"/>
          <w:sz w:val="25"/>
          <w:szCs w:val="25"/>
        </w:rPr>
        <w:t>nav pakļauta valsts metroloģiskajai kontrolei, līdz ar to nav piemērojamas normatīvajos aktos par mērījumu vienotību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 noteiktās prasības. </w:t>
      </w:r>
    </w:p>
    <w:p w14:paraId="3BFEE7D0" w14:textId="77777777" w:rsidR="00302F72" w:rsidRPr="003E562D" w:rsidRDefault="00C85AFC" w:rsidP="00302F72">
      <w:pPr>
        <w:widowControl/>
        <w:spacing w:after="0" w:line="240" w:lineRule="auto"/>
        <w:ind w:firstLine="720"/>
        <w:contextualSpacing/>
        <w:jc w:val="both"/>
        <w:rPr>
          <w:rFonts w:ascii="Times New Roman" w:eastAsia="Times New Roman" w:hAnsi="Times New Roman"/>
          <w:sz w:val="25"/>
          <w:szCs w:val="25"/>
        </w:rPr>
      </w:pPr>
      <w:r w:rsidRPr="003E562D">
        <w:rPr>
          <w:rFonts w:ascii="Times New Roman" w:eastAsia="Times New Roman" w:hAnsi="Times New Roman"/>
          <w:sz w:val="25"/>
          <w:szCs w:val="25"/>
        </w:rPr>
        <w:t xml:space="preserve">Vienlaikus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>Noteikumu Nr.524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 3.punktā nav skaidri nodalīts, kādiem skaitītājiem par saviem līdzekļiem var veikt pirmstermiņa</w:t>
      </w:r>
      <w:r w:rsidR="00BD48FB" w:rsidRPr="003E562D">
        <w:rPr>
          <w:rFonts w:ascii="Times New Roman" w:eastAsia="Times New Roman" w:hAnsi="Times New Roman"/>
          <w:sz w:val="25"/>
          <w:szCs w:val="25"/>
        </w:rPr>
        <w:t xml:space="preserve"> 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verificēšanu, nomaiņu. </w:t>
      </w:r>
    </w:p>
    <w:p w14:paraId="3D0FD8BA" w14:textId="77777777" w:rsidR="00302F72" w:rsidRPr="003E562D" w:rsidRDefault="00C85AFC" w:rsidP="00302F72">
      <w:pPr>
        <w:widowControl/>
        <w:spacing w:after="0" w:line="240" w:lineRule="auto"/>
        <w:ind w:firstLine="720"/>
        <w:contextualSpacing/>
        <w:jc w:val="both"/>
        <w:rPr>
          <w:rFonts w:ascii="Times New Roman" w:hAnsi="Times New Roman"/>
          <w:sz w:val="25"/>
          <w:szCs w:val="25"/>
        </w:rPr>
      </w:pPr>
      <w:r w:rsidRPr="003E562D">
        <w:rPr>
          <w:rFonts w:ascii="Times New Roman" w:eastAsia="Times New Roman" w:hAnsi="Times New Roman"/>
          <w:sz w:val="25"/>
          <w:szCs w:val="25"/>
        </w:rPr>
        <w:t>Ņemot vērā iepriekš minēto</w:t>
      </w:r>
      <w:r w:rsidR="00BD48FB" w:rsidRPr="003E562D">
        <w:rPr>
          <w:rFonts w:ascii="Times New Roman" w:eastAsia="Times New Roman" w:hAnsi="Times New Roman"/>
          <w:sz w:val="25"/>
          <w:szCs w:val="25"/>
        </w:rPr>
        <w:t>,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>PTAC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 aicina Ekonomikas ministriju </w:t>
      </w:r>
      <w:r w:rsidRPr="003E562D">
        <w:rPr>
          <w:rFonts w:ascii="Times New Roman" w:hAnsi="Times New Roman"/>
          <w:sz w:val="25"/>
          <w:szCs w:val="25"/>
        </w:rPr>
        <w:t xml:space="preserve">(turpmāk – </w:t>
      </w:r>
      <w:r w:rsidRPr="003E562D">
        <w:rPr>
          <w:rFonts w:ascii="Times New Roman" w:hAnsi="Times New Roman"/>
          <w:i/>
          <w:sz w:val="25"/>
          <w:szCs w:val="25"/>
        </w:rPr>
        <w:t>EM</w:t>
      </w:r>
      <w:r w:rsidRPr="003E562D">
        <w:rPr>
          <w:rFonts w:ascii="Times New Roman" w:hAnsi="Times New Roman"/>
          <w:sz w:val="25"/>
          <w:szCs w:val="25"/>
        </w:rPr>
        <w:t xml:space="preserve">) </w:t>
      </w:r>
      <w:r w:rsidRPr="003E562D">
        <w:rPr>
          <w:rFonts w:ascii="Times New Roman" w:hAnsi="Times New Roman"/>
          <w:i/>
          <w:iCs/>
          <w:sz w:val="25"/>
          <w:szCs w:val="25"/>
        </w:rPr>
        <w:t>Noteikumo</w:t>
      </w:r>
      <w:r w:rsidRPr="003E562D">
        <w:rPr>
          <w:rFonts w:ascii="Times New Roman" w:hAnsi="Times New Roman"/>
          <w:i/>
          <w:iCs/>
          <w:sz w:val="25"/>
          <w:szCs w:val="25"/>
        </w:rPr>
        <w:t>s Nr.524</w:t>
      </w:r>
      <w:r w:rsidRPr="003E562D">
        <w:rPr>
          <w:rFonts w:ascii="Times New Roman" w:hAnsi="Times New Roman"/>
          <w:sz w:val="25"/>
          <w:szCs w:val="25"/>
        </w:rPr>
        <w:t xml:space="preserve"> skaidri definēt un nodalīt prasības kādas piemērojamas </w:t>
      </w:r>
      <w:r w:rsidRPr="003E562D">
        <w:rPr>
          <w:rFonts w:ascii="Times New Roman" w:eastAsia="Times New Roman" w:hAnsi="Times New Roman"/>
          <w:sz w:val="25"/>
          <w:szCs w:val="25"/>
        </w:rPr>
        <w:t>–</w:t>
      </w:r>
      <w:r w:rsidRPr="003E562D">
        <w:rPr>
          <w:rFonts w:ascii="Times New Roman" w:hAnsi="Times New Roman"/>
          <w:sz w:val="25"/>
          <w:szCs w:val="25"/>
        </w:rPr>
        <w:t xml:space="preserve"> </w:t>
      </w:r>
      <w:r w:rsidRPr="003E562D">
        <w:rPr>
          <w:rFonts w:ascii="Times New Roman" w:hAnsi="Times New Roman"/>
          <w:sz w:val="25"/>
          <w:szCs w:val="25"/>
        </w:rPr>
        <w:lastRenderedPageBreak/>
        <w:t>siltumenerģijas skaitītājiem, siltuma maksas sadalītājiem, siltumenerģijas patēriņa noteikšanas sistēmas sensoriem un siltumenerģijas uzskaites (sadales) sistēmai.</w:t>
      </w:r>
    </w:p>
    <w:p w14:paraId="23FA19F5" w14:textId="77777777" w:rsidR="00302F72" w:rsidRPr="003E562D" w:rsidRDefault="00C85AFC" w:rsidP="00302F72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5"/>
          <w:szCs w:val="25"/>
          <w:shd w:val="clear" w:color="auto" w:fill="FFFFFF"/>
        </w:rPr>
      </w:pPr>
      <w:r w:rsidRPr="003E562D">
        <w:rPr>
          <w:rFonts w:ascii="Times New Roman" w:hAnsi="Times New Roman"/>
          <w:sz w:val="25"/>
          <w:szCs w:val="25"/>
          <w:shd w:val="clear" w:color="auto" w:fill="FFFFFF"/>
        </w:rPr>
        <w:t xml:space="preserve">Vēršam uzmanību, ka pašreizējā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 xml:space="preserve">Noteikumu Nr.524 </w:t>
      </w:r>
      <w:r w:rsidRPr="003E562D">
        <w:rPr>
          <w:rFonts w:ascii="Times New Roman" w:eastAsia="Times New Roman" w:hAnsi="Times New Roman"/>
          <w:sz w:val="25"/>
          <w:szCs w:val="25"/>
        </w:rPr>
        <w:t>redakcijas 3.</w:t>
      </w:r>
      <w:r w:rsidRPr="003E562D">
        <w:rPr>
          <w:rFonts w:ascii="Times New Roman" w:eastAsia="Times New Roman" w:hAnsi="Times New Roman"/>
          <w:sz w:val="25"/>
          <w:szCs w:val="25"/>
          <w:vertAlign w:val="superscript"/>
        </w:rPr>
        <w:t>1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punktā ir kļūdaina atsauce uz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>Noteikumu Nr.524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 6.</w:t>
      </w:r>
      <w:r w:rsidRPr="003E562D">
        <w:rPr>
          <w:rFonts w:ascii="Times New Roman" w:eastAsia="Times New Roman" w:hAnsi="Times New Roman"/>
          <w:sz w:val="25"/>
          <w:szCs w:val="25"/>
          <w:vertAlign w:val="superscript"/>
        </w:rPr>
        <w:t>2</w:t>
      </w:r>
      <w:r w:rsidRPr="003E562D">
        <w:rPr>
          <w:rFonts w:ascii="Times New Roman" w:eastAsia="Times New Roman" w:hAnsi="Times New Roman"/>
          <w:sz w:val="25"/>
          <w:szCs w:val="25"/>
        </w:rPr>
        <w:t>punktu saistībā ar skaitītāja (siltumenerģijas skaitītājs) atkārtotās verificēšanas period</w:t>
      </w:r>
      <w:r w:rsidR="00BD48FB" w:rsidRPr="003E562D">
        <w:rPr>
          <w:rFonts w:ascii="Times New Roman" w:eastAsia="Times New Roman" w:hAnsi="Times New Roman"/>
          <w:sz w:val="25"/>
          <w:szCs w:val="25"/>
        </w:rPr>
        <w:t>iskumu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.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>Noteikumu Nr.524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 6.</w:t>
      </w:r>
      <w:r w:rsidRPr="003E562D">
        <w:rPr>
          <w:rFonts w:ascii="Times New Roman" w:eastAsia="Times New Roman" w:hAnsi="Times New Roman"/>
          <w:sz w:val="25"/>
          <w:szCs w:val="25"/>
          <w:vertAlign w:val="superscript"/>
        </w:rPr>
        <w:t>2</w:t>
      </w:r>
      <w:r w:rsidRPr="003E562D">
        <w:rPr>
          <w:rFonts w:ascii="Times New Roman" w:eastAsia="Times New Roman" w:hAnsi="Times New Roman"/>
          <w:sz w:val="25"/>
          <w:szCs w:val="25"/>
        </w:rPr>
        <w:t>punkts nosaka atkārtotās v</w:t>
      </w:r>
      <w:r w:rsidRPr="003E562D">
        <w:rPr>
          <w:rFonts w:ascii="Times New Roman" w:eastAsia="Times New Roman" w:hAnsi="Times New Roman"/>
          <w:sz w:val="25"/>
          <w:szCs w:val="25"/>
        </w:rPr>
        <w:t>erificēšanas periodiskuma prasības</w:t>
      </w:r>
      <w:r w:rsidRPr="003E562D">
        <w:rPr>
          <w:rFonts w:ascii="Times New Roman" w:eastAsia="Times New Roman" w:hAnsi="Times New Roman"/>
          <w:sz w:val="25"/>
          <w:szCs w:val="25"/>
          <w:u w:val="single"/>
        </w:rPr>
        <w:t xml:space="preserve"> ūdens patēriņa skaitītājiem</w:t>
      </w:r>
      <w:r w:rsidRPr="003E562D">
        <w:rPr>
          <w:rFonts w:ascii="Times New Roman" w:eastAsia="Times New Roman" w:hAnsi="Times New Roman"/>
          <w:sz w:val="25"/>
          <w:szCs w:val="25"/>
        </w:rPr>
        <w:t>.</w:t>
      </w:r>
      <w:r w:rsidR="001721F4" w:rsidRPr="003E562D">
        <w:rPr>
          <w:rFonts w:ascii="Times New Roman" w:eastAsia="Times New Roman" w:hAnsi="Times New Roman"/>
          <w:sz w:val="25"/>
          <w:szCs w:val="25"/>
        </w:rPr>
        <w:t xml:space="preserve"> Esošajā redakcijā atsauce uz siltumenerģijas skaitītāju verificēšanas periodiskumu ir </w:t>
      </w:r>
      <w:r w:rsidR="001721F4" w:rsidRPr="003E562D">
        <w:rPr>
          <w:rFonts w:ascii="Times New Roman" w:eastAsia="Times New Roman" w:hAnsi="Times New Roman"/>
          <w:i/>
          <w:iCs/>
          <w:sz w:val="25"/>
          <w:szCs w:val="25"/>
        </w:rPr>
        <w:t>Noteikumu Nr.524</w:t>
      </w:r>
      <w:r w:rsidR="001721F4" w:rsidRPr="003E562D">
        <w:rPr>
          <w:rFonts w:ascii="Times New Roman" w:eastAsia="Times New Roman" w:hAnsi="Times New Roman"/>
          <w:sz w:val="25"/>
          <w:szCs w:val="25"/>
        </w:rPr>
        <w:t xml:space="preserve"> </w:t>
      </w:r>
      <w:r w:rsidR="001721F4" w:rsidRPr="003E562D">
        <w:rPr>
          <w:rFonts w:ascii="Times New Roman" w:hAnsi="Times New Roman"/>
          <w:sz w:val="25"/>
          <w:szCs w:val="25"/>
          <w:shd w:val="clear" w:color="auto" w:fill="FFFFFF"/>
        </w:rPr>
        <w:t>19.</w:t>
      </w:r>
      <w:r w:rsidR="001721F4" w:rsidRPr="003E562D">
        <w:rPr>
          <w:rFonts w:ascii="Times New Roman" w:hAnsi="Times New Roman"/>
          <w:sz w:val="25"/>
          <w:szCs w:val="25"/>
          <w:shd w:val="clear" w:color="auto" w:fill="FFFFFF"/>
          <w:vertAlign w:val="superscript"/>
        </w:rPr>
        <w:t>1</w:t>
      </w:r>
      <w:r w:rsidR="001721F4"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  <w:vertAlign w:val="superscript"/>
        </w:rPr>
        <w:t xml:space="preserve"> </w:t>
      </w:r>
      <w:r w:rsidR="001721F4" w:rsidRPr="003E562D">
        <w:rPr>
          <w:rFonts w:ascii="Times New Roman" w:hAnsi="Times New Roman"/>
          <w:sz w:val="25"/>
          <w:szCs w:val="25"/>
          <w:shd w:val="clear" w:color="auto" w:fill="FFFFFF"/>
        </w:rPr>
        <w:t>punktā.</w:t>
      </w:r>
    </w:p>
    <w:p w14:paraId="4CC2A34B" w14:textId="77777777" w:rsidR="00302F72" w:rsidRPr="003E562D" w:rsidRDefault="00302F72" w:rsidP="00302F72">
      <w:pPr>
        <w:widowControl/>
        <w:spacing w:after="0" w:line="240" w:lineRule="auto"/>
        <w:jc w:val="both"/>
        <w:rPr>
          <w:rFonts w:ascii="Times New Roman" w:hAnsi="Times New Roman"/>
          <w:color w:val="0070C0"/>
          <w:sz w:val="25"/>
          <w:szCs w:val="25"/>
          <w:shd w:val="clear" w:color="auto" w:fill="FFFFFF"/>
        </w:rPr>
      </w:pPr>
    </w:p>
    <w:p w14:paraId="61FF6589" w14:textId="77777777" w:rsidR="00302F72" w:rsidRPr="003E562D" w:rsidRDefault="00C85AFC" w:rsidP="00302F72">
      <w:pPr>
        <w:widowControl/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/>
          <w:b/>
          <w:bCs/>
          <w:sz w:val="25"/>
          <w:szCs w:val="25"/>
        </w:rPr>
      </w:pPr>
      <w:r w:rsidRPr="003E562D">
        <w:rPr>
          <w:rFonts w:ascii="Times New Roman" w:eastAsia="Times New Roman" w:hAnsi="Times New Roman"/>
          <w:b/>
          <w:bCs/>
          <w:i/>
          <w:iCs/>
          <w:sz w:val="25"/>
          <w:szCs w:val="25"/>
        </w:rPr>
        <w:t xml:space="preserve">Noteikumu projekta 730 </w:t>
      </w:r>
      <w:r w:rsidRPr="003E562D">
        <w:rPr>
          <w:rFonts w:ascii="Times New Roman" w:eastAsia="Times New Roman" w:hAnsi="Times New Roman"/>
          <w:b/>
          <w:bCs/>
          <w:sz w:val="25"/>
          <w:szCs w:val="25"/>
        </w:rPr>
        <w:t>5.punkts.</w:t>
      </w:r>
    </w:p>
    <w:p w14:paraId="1DE72B30" w14:textId="77777777" w:rsidR="00302F72" w:rsidRPr="003E562D" w:rsidRDefault="00302F72" w:rsidP="00302F72">
      <w:pPr>
        <w:widowControl/>
        <w:spacing w:after="0" w:line="240" w:lineRule="auto"/>
        <w:ind w:firstLine="284"/>
        <w:jc w:val="both"/>
        <w:rPr>
          <w:rFonts w:ascii="Times New Roman" w:eastAsia="Times New Roman" w:hAnsi="Times New Roman"/>
          <w:sz w:val="25"/>
          <w:szCs w:val="25"/>
        </w:rPr>
      </w:pPr>
    </w:p>
    <w:p w14:paraId="487091ED" w14:textId="77777777" w:rsidR="00302F72" w:rsidRPr="003E562D" w:rsidRDefault="00C85AFC" w:rsidP="00302F72">
      <w:pPr>
        <w:widowControl/>
        <w:spacing w:after="0" w:line="240" w:lineRule="auto"/>
        <w:ind w:firstLine="720"/>
        <w:contextualSpacing/>
        <w:jc w:val="both"/>
        <w:rPr>
          <w:rFonts w:ascii="Times New Roman" w:eastAsia="Times New Roman" w:hAnsi="Times New Roman"/>
          <w:sz w:val="25"/>
          <w:szCs w:val="25"/>
        </w:rPr>
      </w:pPr>
      <w:bookmarkStart w:id="1" w:name="_Hlk175148820"/>
      <w:r w:rsidRPr="003E562D">
        <w:rPr>
          <w:rFonts w:ascii="Times New Roman" w:eastAsia="Times New Roman" w:hAnsi="Times New Roman"/>
          <w:sz w:val="25"/>
          <w:szCs w:val="25"/>
        </w:rPr>
        <w:t xml:space="preserve">Izvērtējot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>Noteikumu projekta 730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 redakciju</w:t>
      </w:r>
      <w:bookmarkEnd w:id="1"/>
      <w:r w:rsidRPr="003E562D">
        <w:rPr>
          <w:rFonts w:ascii="Times New Roman" w:eastAsia="Times New Roman" w:hAnsi="Times New Roman"/>
          <w:sz w:val="25"/>
          <w:szCs w:val="25"/>
        </w:rPr>
        <w:t xml:space="preserve">,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>PTAC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 secina, ka arī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>Noteikumu Nr.730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 grozījumos ir ietverta nekorekta atsauce uz normatīvajiem aktiem par mērījumu vienotību. </w:t>
      </w:r>
      <w:r w:rsidRPr="003E562D">
        <w:rPr>
          <w:rFonts w:ascii="Times New Roman" w:hAnsi="Times New Roman"/>
          <w:i/>
          <w:iCs/>
          <w:sz w:val="25"/>
          <w:szCs w:val="25"/>
        </w:rPr>
        <w:t>PTAC</w:t>
      </w:r>
      <w:r w:rsidRPr="003E562D">
        <w:rPr>
          <w:rFonts w:ascii="Times New Roman" w:hAnsi="Times New Roman"/>
          <w:sz w:val="25"/>
          <w:szCs w:val="25"/>
        </w:rPr>
        <w:t xml:space="preserve"> vērš uzmanību, ka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 xml:space="preserve">Noteikumu Nr.730 </w:t>
      </w:r>
      <w:r w:rsidRPr="003E562D">
        <w:rPr>
          <w:rFonts w:ascii="Times New Roman" w:eastAsia="Times New Roman" w:hAnsi="Times New Roman"/>
          <w:sz w:val="25"/>
          <w:szCs w:val="25"/>
        </w:rPr>
        <w:t>5.punktā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 xml:space="preserve"> 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minēts, ka siltumenerģijas patēriņa noteikšanas sistēma </w:t>
      </w:r>
      <w:r w:rsidRPr="003E562D">
        <w:rPr>
          <w:rFonts w:ascii="Times New Roman" w:eastAsia="Times New Roman" w:hAnsi="Times New Roman"/>
          <w:sz w:val="25"/>
          <w:szCs w:val="25"/>
        </w:rPr>
        <w:t>atbilst metroloģiskajām prasībām, kas noteiktas normatīvajos aktos par mērījumu vienotību.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 xml:space="preserve"> PTAC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 atkārtoti informē, ka siltumenerģijas patēriņa noteikšanas sistēma nav pakļauta valsts metroloģiskajai kontrolei, līdz ar to nav piemērojamas normatīvajos aktos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 par mērījumu vienotību noteiktās prasības. </w:t>
      </w:r>
    </w:p>
    <w:p w14:paraId="219B017F" w14:textId="77777777" w:rsidR="00302F72" w:rsidRPr="003E562D" w:rsidRDefault="00302F72" w:rsidP="00302F72">
      <w:pPr>
        <w:widowControl/>
        <w:spacing w:after="0" w:line="240" w:lineRule="auto"/>
        <w:jc w:val="both"/>
        <w:rPr>
          <w:rFonts w:ascii="Times New Roman" w:hAnsi="Times New Roman"/>
          <w:color w:val="0070C0"/>
          <w:sz w:val="25"/>
          <w:szCs w:val="25"/>
          <w:shd w:val="clear" w:color="auto" w:fill="FFFFFF"/>
        </w:rPr>
      </w:pPr>
    </w:p>
    <w:p w14:paraId="52953B27" w14:textId="77777777" w:rsidR="00302F72" w:rsidRPr="003E562D" w:rsidRDefault="00C85AFC" w:rsidP="00302F72">
      <w:pPr>
        <w:widowControl/>
        <w:spacing w:after="0" w:line="240" w:lineRule="auto"/>
        <w:ind w:firstLine="720"/>
        <w:contextualSpacing/>
        <w:jc w:val="both"/>
        <w:rPr>
          <w:rFonts w:ascii="Times New Roman" w:eastAsia="Times New Roman" w:hAnsi="Times New Roman"/>
          <w:i/>
          <w:iCs/>
          <w:sz w:val="25"/>
          <w:szCs w:val="25"/>
        </w:rPr>
      </w:pPr>
      <w:r w:rsidRPr="003E562D">
        <w:rPr>
          <w:rFonts w:ascii="Times New Roman" w:eastAsia="Times New Roman" w:hAnsi="Times New Roman"/>
          <w:sz w:val="25"/>
          <w:szCs w:val="25"/>
        </w:rPr>
        <w:t xml:space="preserve">Ņemot vērā iepriekš minēto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>PTAC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 aicina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>EM:</w:t>
      </w:r>
    </w:p>
    <w:p w14:paraId="420B3517" w14:textId="77777777" w:rsidR="00302F72" w:rsidRPr="003E562D" w:rsidRDefault="00302F72" w:rsidP="00302F72">
      <w:pPr>
        <w:widowControl/>
        <w:spacing w:after="0" w:line="240" w:lineRule="auto"/>
        <w:ind w:firstLine="720"/>
        <w:contextualSpacing/>
        <w:jc w:val="both"/>
        <w:rPr>
          <w:rFonts w:ascii="Times New Roman" w:eastAsia="Times New Roman" w:hAnsi="Times New Roman"/>
          <w:i/>
          <w:iCs/>
          <w:sz w:val="25"/>
          <w:szCs w:val="25"/>
        </w:rPr>
      </w:pPr>
    </w:p>
    <w:p w14:paraId="430078BD" w14:textId="77777777" w:rsidR="00302F72" w:rsidRPr="003E562D" w:rsidRDefault="00C85AFC" w:rsidP="00302F72">
      <w:pPr>
        <w:widowControl/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5"/>
          <w:szCs w:val="25"/>
        </w:rPr>
      </w:pPr>
      <w:r w:rsidRPr="003E562D">
        <w:rPr>
          <w:rFonts w:ascii="Times New Roman" w:eastAsia="Times New Roman" w:hAnsi="Times New Roman"/>
          <w:sz w:val="25"/>
          <w:szCs w:val="25"/>
        </w:rPr>
        <w:t xml:space="preserve">izteikt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 xml:space="preserve">Noteikumu Nr.524 </w:t>
      </w:r>
      <w:r w:rsidRPr="003E562D">
        <w:rPr>
          <w:rFonts w:ascii="Times New Roman" w:eastAsia="Times New Roman" w:hAnsi="Times New Roman"/>
          <w:sz w:val="25"/>
          <w:szCs w:val="25"/>
        </w:rPr>
        <w:t>3.punktu šādā redakcijā:</w:t>
      </w:r>
    </w:p>
    <w:p w14:paraId="0424CC25" w14:textId="77777777" w:rsidR="00302F72" w:rsidRPr="003E562D" w:rsidRDefault="00C85AFC" w:rsidP="00302F72">
      <w:pPr>
        <w:widowControl/>
        <w:spacing w:after="0" w:line="240" w:lineRule="auto"/>
        <w:ind w:left="851"/>
        <w:contextualSpacing/>
        <w:jc w:val="both"/>
        <w:rPr>
          <w:rFonts w:ascii="Times New Roman" w:hAnsi="Times New Roman"/>
          <w:i/>
          <w:iCs/>
          <w:sz w:val="25"/>
          <w:szCs w:val="25"/>
          <w:shd w:val="clear" w:color="auto" w:fill="FFFFFF"/>
        </w:rPr>
      </w:pP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“3. Personai, kura aprēķina maksājamo daļu, vai saskaņā ar dzīvojamās mājas īpašnieku lēmumu citai pilnvarotajai personai ir tiesības pārbaudīt dzīvoklī, nedzīvojamā telpā vai mākslinieka darbnīcā uzstādīto individuālā siltumenerģijas skaitītāju (tai skait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ā siltuma maksas sadalītāju un siltumenerģijas patēriņa noteikšanas sistēmas sensoru)  rādījumus, darbību un plombu tehnisko stāvokli, kā arī par saviem līdzekļiem veikt </w:t>
      </w:r>
      <w:r w:rsidRPr="003E562D">
        <w:rPr>
          <w:rFonts w:ascii="Times New Roman" w:hAnsi="Times New Roman"/>
          <w:b/>
          <w:bCs/>
          <w:i/>
          <w:iCs/>
          <w:sz w:val="25"/>
          <w:szCs w:val="25"/>
          <w:shd w:val="clear" w:color="auto" w:fill="FFFFFF"/>
        </w:rPr>
        <w:t>siltumenerģijas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 skaitītāja pirmstermiņa verificēšanu, nomaiņu.”</w:t>
      </w:r>
    </w:p>
    <w:p w14:paraId="12B866FC" w14:textId="77777777" w:rsidR="00302F72" w:rsidRPr="003E562D" w:rsidRDefault="00302F72" w:rsidP="00302F72">
      <w:pPr>
        <w:widowControl/>
        <w:spacing w:after="0" w:line="240" w:lineRule="auto"/>
        <w:ind w:left="1701"/>
        <w:jc w:val="both"/>
        <w:rPr>
          <w:rFonts w:ascii="Times New Roman" w:eastAsia="Times New Roman" w:hAnsi="Times New Roman"/>
          <w:i/>
          <w:iCs/>
          <w:color w:val="0070C0"/>
          <w:sz w:val="25"/>
          <w:szCs w:val="25"/>
        </w:rPr>
      </w:pPr>
    </w:p>
    <w:p w14:paraId="47538639" w14:textId="77777777" w:rsidR="00302F72" w:rsidRPr="003E562D" w:rsidRDefault="00C85AFC" w:rsidP="00302F72">
      <w:pPr>
        <w:widowControl/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5"/>
          <w:szCs w:val="25"/>
        </w:rPr>
      </w:pPr>
      <w:r w:rsidRPr="003E562D">
        <w:rPr>
          <w:rFonts w:ascii="Times New Roman" w:eastAsia="Times New Roman" w:hAnsi="Times New Roman"/>
          <w:sz w:val="25"/>
          <w:szCs w:val="25"/>
        </w:rPr>
        <w:t xml:space="preserve">izteikt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 xml:space="preserve">Noteikumu Nr.524 </w:t>
      </w:r>
      <w:r w:rsidRPr="003E562D">
        <w:rPr>
          <w:rFonts w:ascii="Times New Roman" w:eastAsia="Times New Roman" w:hAnsi="Times New Roman"/>
          <w:sz w:val="25"/>
          <w:szCs w:val="25"/>
        </w:rPr>
        <w:t>3.</w:t>
      </w:r>
      <w:r w:rsidRPr="003E562D">
        <w:rPr>
          <w:rFonts w:ascii="Times New Roman" w:eastAsia="Times New Roman" w:hAnsi="Times New Roman"/>
          <w:sz w:val="25"/>
          <w:szCs w:val="25"/>
          <w:vertAlign w:val="superscript"/>
        </w:rPr>
        <w:t>1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 punktu šādā redakcijā:</w:t>
      </w:r>
    </w:p>
    <w:p w14:paraId="6A5106C8" w14:textId="77777777" w:rsidR="00302F72" w:rsidRPr="003E562D" w:rsidRDefault="00C85AFC" w:rsidP="00302F72">
      <w:pPr>
        <w:widowControl/>
        <w:spacing w:after="0" w:line="240" w:lineRule="auto"/>
        <w:ind w:left="851"/>
        <w:contextualSpacing/>
        <w:jc w:val="both"/>
        <w:rPr>
          <w:rFonts w:ascii="Times New Roman" w:hAnsi="Times New Roman"/>
          <w:i/>
          <w:iCs/>
          <w:sz w:val="25"/>
          <w:szCs w:val="25"/>
          <w:shd w:val="clear" w:color="auto" w:fill="FFFFFF"/>
        </w:rPr>
      </w:pP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“3.1 Ja dzīvoklī, nedzīvojamā telpā vai mākslinieka darbnīcā </w:t>
      </w:r>
      <w:r w:rsidRPr="003E562D">
        <w:rPr>
          <w:rFonts w:ascii="Times New Roman" w:hAnsi="Times New Roman"/>
          <w:b/>
          <w:bCs/>
          <w:i/>
          <w:iCs/>
          <w:sz w:val="25"/>
          <w:szCs w:val="25"/>
          <w:shd w:val="clear" w:color="auto" w:fill="FFFFFF"/>
        </w:rPr>
        <w:t>siltumenerģijas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 skaitītājs ir uzstādīts, neievērojot normatīvajos aktos par mērījumu vienotību (ja ir uzstādīts siltuma maksas sadalītājs – piemērojamā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 standartā) vai </w:t>
      </w:r>
      <w:bookmarkStart w:id="2" w:name="_Hlk175148497"/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dzīvojamās mājas īpašnieku noteiktās prasības </w:t>
      </w:r>
      <w:bookmarkEnd w:id="2"/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(</w:t>
      </w:r>
      <w:r w:rsidRPr="003E562D">
        <w:rPr>
          <w:rFonts w:ascii="Times New Roman" w:hAnsi="Times New Roman"/>
          <w:b/>
          <w:bCs/>
          <w:i/>
          <w:iCs/>
          <w:sz w:val="25"/>
          <w:szCs w:val="25"/>
          <w:shd w:val="clear" w:color="auto" w:fill="FFFFFF"/>
        </w:rPr>
        <w:t>attiecināmas arī uz siltumenerģijas patēriņa noteikšanas sistēmas sensoriem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), vai arī patērētās siltumenerģijas daudzuma noteikšanai izmantotās ierīces vai iekārtas neatbilst minētajām prasībām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, izdevumus, kas saistīti ar </w:t>
      </w:r>
      <w:r w:rsidRPr="003E562D">
        <w:rPr>
          <w:rFonts w:ascii="Times New Roman" w:hAnsi="Times New Roman"/>
          <w:b/>
          <w:bCs/>
          <w:i/>
          <w:iCs/>
          <w:sz w:val="25"/>
          <w:szCs w:val="25"/>
          <w:shd w:val="clear" w:color="auto" w:fill="FFFFFF"/>
        </w:rPr>
        <w:t>siltumenerģijas skaitītāju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 atkārtoto verificēšanu agrāk par verificēšanas sertifikātā vai šo noteikumu </w:t>
      </w:r>
      <w:bookmarkStart w:id="3" w:name="_Hlk175215697"/>
      <w:r w:rsidRPr="003E562D">
        <w:rPr>
          <w:rFonts w:ascii="Times New Roman" w:hAnsi="Times New Roman"/>
          <w:b/>
          <w:bCs/>
          <w:i/>
          <w:iCs/>
          <w:sz w:val="25"/>
          <w:szCs w:val="25"/>
          <w:shd w:val="clear" w:color="auto" w:fill="FFFFFF"/>
        </w:rPr>
        <w:t>19.</w:t>
      </w:r>
      <w:r w:rsidRPr="003E562D">
        <w:rPr>
          <w:rFonts w:ascii="Times New Roman" w:hAnsi="Times New Roman"/>
          <w:b/>
          <w:bCs/>
          <w:i/>
          <w:iCs/>
          <w:sz w:val="25"/>
          <w:szCs w:val="25"/>
          <w:shd w:val="clear" w:color="auto" w:fill="FFFFFF"/>
          <w:vertAlign w:val="superscript"/>
        </w:rPr>
        <w:t>1</w:t>
      </w:r>
      <w:r w:rsidRPr="003E562D">
        <w:rPr>
          <w:rFonts w:ascii="Times New Roman" w:hAnsi="Times New Roman"/>
          <w:b/>
          <w:bCs/>
          <w:i/>
          <w:iCs/>
          <w:sz w:val="25"/>
          <w:szCs w:val="25"/>
          <w:shd w:val="clear" w:color="auto" w:fill="FFFFFF"/>
        </w:rPr>
        <w:t xml:space="preserve"> </w:t>
      </w:r>
      <w:bookmarkEnd w:id="3"/>
      <w:r w:rsidRPr="003E562D">
        <w:rPr>
          <w:rFonts w:ascii="Times New Roman" w:hAnsi="Times New Roman"/>
          <w:b/>
          <w:bCs/>
          <w:i/>
          <w:iCs/>
          <w:sz w:val="25"/>
          <w:szCs w:val="25"/>
          <w:shd w:val="clear" w:color="auto" w:fill="FFFFFF"/>
        </w:rPr>
        <w:t>punktā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 noteikto termiņu vai minēto ierīču vai iekārtu nomaiņu pareizu uzstādīšanu, sedz atbildīgais par patērētās siltu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menerģijas daudzuma noteikšanai izmantojamo ierīču vai iekārtu uzstādīšanu (attiecīgi dzīvojamās mājas īpašnieks vai dzīvojamās mājas īpašnieku pilnvarotā persona).”</w:t>
      </w:r>
    </w:p>
    <w:p w14:paraId="417E0AD6" w14:textId="77777777" w:rsidR="00302F72" w:rsidRPr="003E562D" w:rsidRDefault="00302F72" w:rsidP="00302F72">
      <w:pPr>
        <w:widowControl/>
        <w:spacing w:after="0" w:line="240" w:lineRule="auto"/>
        <w:jc w:val="both"/>
        <w:rPr>
          <w:rFonts w:ascii="Times New Roman" w:hAnsi="Times New Roman"/>
          <w:i/>
          <w:iCs/>
          <w:color w:val="0070C0"/>
          <w:sz w:val="25"/>
          <w:szCs w:val="25"/>
          <w:shd w:val="clear" w:color="auto" w:fill="FFFFFF"/>
        </w:rPr>
      </w:pPr>
    </w:p>
    <w:p w14:paraId="1B7287F7" w14:textId="77777777" w:rsidR="00302F72" w:rsidRPr="003E562D" w:rsidRDefault="00C85AFC" w:rsidP="00302F72">
      <w:pPr>
        <w:widowControl/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5"/>
          <w:szCs w:val="25"/>
        </w:rPr>
      </w:pPr>
      <w:r w:rsidRPr="003E562D">
        <w:rPr>
          <w:rFonts w:ascii="Times New Roman" w:eastAsia="Times New Roman" w:hAnsi="Times New Roman"/>
          <w:sz w:val="25"/>
          <w:szCs w:val="25"/>
        </w:rPr>
        <w:t xml:space="preserve">izteikt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 xml:space="preserve">Noteikumu Nr.524 </w:t>
      </w:r>
      <w:r w:rsidRPr="003E562D">
        <w:rPr>
          <w:rFonts w:ascii="Times New Roman" w:eastAsia="Times New Roman" w:hAnsi="Times New Roman"/>
          <w:sz w:val="25"/>
          <w:szCs w:val="25"/>
        </w:rPr>
        <w:t>19.</w:t>
      </w:r>
      <w:r w:rsidRPr="003E562D">
        <w:rPr>
          <w:rFonts w:ascii="Times New Roman" w:eastAsia="Times New Roman" w:hAnsi="Times New Roman"/>
          <w:sz w:val="25"/>
          <w:szCs w:val="25"/>
          <w:vertAlign w:val="superscript"/>
        </w:rPr>
        <w:t>6</w:t>
      </w:r>
      <w:r w:rsidRPr="003E562D">
        <w:rPr>
          <w:rFonts w:ascii="Times New Roman" w:eastAsia="Times New Roman" w:hAnsi="Times New Roman"/>
          <w:sz w:val="25"/>
          <w:szCs w:val="25"/>
        </w:rPr>
        <w:t>1. apakšpunktu šādā redakcijā:</w:t>
      </w:r>
    </w:p>
    <w:p w14:paraId="13D6C881" w14:textId="77777777" w:rsidR="00302F72" w:rsidRPr="003E562D" w:rsidRDefault="00C85AFC" w:rsidP="00302F72">
      <w:pPr>
        <w:widowControl/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i/>
          <w:iCs/>
          <w:sz w:val="25"/>
          <w:szCs w:val="25"/>
        </w:rPr>
      </w:pPr>
      <w:r w:rsidRPr="003E562D">
        <w:rPr>
          <w:rFonts w:ascii="Times New Roman" w:eastAsia="Times New Roman" w:hAnsi="Times New Roman"/>
          <w:sz w:val="25"/>
          <w:szCs w:val="25"/>
        </w:rPr>
        <w:tab/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>“19.</w:t>
      </w:r>
      <w:r w:rsidRPr="003E562D">
        <w:rPr>
          <w:rFonts w:ascii="Times New Roman" w:eastAsia="Times New Roman" w:hAnsi="Times New Roman"/>
          <w:i/>
          <w:iCs/>
          <w:sz w:val="25"/>
          <w:szCs w:val="25"/>
          <w:vertAlign w:val="superscript"/>
        </w:rPr>
        <w:t>6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 xml:space="preserve">1. dzīvojamās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>mājas īpašnieku noteiktās kārtības, prasību ievērošanu.”</w:t>
      </w:r>
    </w:p>
    <w:p w14:paraId="31D6B210" w14:textId="77777777" w:rsidR="00302F72" w:rsidRPr="003E562D" w:rsidRDefault="00302F72" w:rsidP="00302F72">
      <w:pPr>
        <w:widowControl/>
        <w:spacing w:after="0" w:line="240" w:lineRule="auto"/>
        <w:jc w:val="both"/>
        <w:rPr>
          <w:rFonts w:ascii="Times New Roman" w:hAnsi="Times New Roman"/>
          <w:i/>
          <w:iCs/>
          <w:sz w:val="25"/>
          <w:szCs w:val="25"/>
          <w:shd w:val="clear" w:color="auto" w:fill="FFFFFF"/>
        </w:rPr>
      </w:pPr>
    </w:p>
    <w:p w14:paraId="1479E84E" w14:textId="77777777" w:rsidR="00302F72" w:rsidRPr="003E562D" w:rsidRDefault="00C85AFC" w:rsidP="00302F72">
      <w:pPr>
        <w:widowControl/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5"/>
          <w:szCs w:val="25"/>
        </w:rPr>
      </w:pPr>
      <w:r w:rsidRPr="003E562D">
        <w:rPr>
          <w:rFonts w:ascii="Times New Roman" w:eastAsia="Times New Roman" w:hAnsi="Times New Roman"/>
          <w:sz w:val="25"/>
          <w:szCs w:val="25"/>
        </w:rPr>
        <w:t xml:space="preserve">izteikt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 xml:space="preserve">Noteikumu Nr.524 </w:t>
      </w:r>
      <w:r w:rsidRPr="003E562D">
        <w:rPr>
          <w:rFonts w:ascii="Times New Roman" w:eastAsia="Times New Roman" w:hAnsi="Times New Roman"/>
          <w:sz w:val="25"/>
          <w:szCs w:val="25"/>
        </w:rPr>
        <w:t>31.punktu šādā redakcijā:</w:t>
      </w:r>
    </w:p>
    <w:p w14:paraId="23D1BFAB" w14:textId="77777777" w:rsidR="00302F72" w:rsidRPr="003E562D" w:rsidRDefault="00C85AFC" w:rsidP="008F34F1">
      <w:pPr>
        <w:widowControl/>
        <w:spacing w:after="0" w:line="240" w:lineRule="auto"/>
        <w:ind w:left="851"/>
        <w:contextualSpacing/>
        <w:jc w:val="both"/>
        <w:rPr>
          <w:rFonts w:ascii="Times New Roman" w:hAnsi="Times New Roman"/>
          <w:i/>
          <w:iCs/>
          <w:sz w:val="25"/>
          <w:szCs w:val="25"/>
          <w:shd w:val="clear" w:color="auto" w:fill="FFFFFF"/>
        </w:rPr>
      </w:pP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“31. Dzīvojamās mājās, kurās siltumenerģijas uzskaiti (sadali) veic ar </w:t>
      </w:r>
      <w:r w:rsidRPr="003E562D">
        <w:rPr>
          <w:rFonts w:ascii="Times New Roman" w:hAnsi="Times New Roman"/>
          <w:b/>
          <w:bCs/>
          <w:i/>
          <w:iCs/>
          <w:sz w:val="25"/>
          <w:szCs w:val="25"/>
          <w:shd w:val="clear" w:color="auto" w:fill="FFFFFF"/>
        </w:rPr>
        <w:t>siltumenerģijas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 skaitītāju dzīvojamās mājas ievadā un siltuma maksas sadalīt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ājiem vai siltumenerģijas skaitītājiem dzīvokļos, nedzīvojamās telpās un 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lastRenderedPageBreak/>
        <w:t>mākslinieka darbnīcās, personai, kura aprēķina maksājamās daļas apmēru, no 2022.gada 1.marta ir pienākums, veicot maksājamo daļu aprēķināšanu, ievērot šo noteikumu 19.2 un 19.3 punktā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 noteikto kārtību un piemērot šo noteikumu 21. un 22. pielikumā norādītos koeficientus. Šo noteikumu 21.pielikumā norādītos koeficientus var nepiemērot, ja tos noteicis neatkarīgs eksperts saskaņā ar standartu LVS EN 834+AC:2021 “Siltumenerģijas patēriņa n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oteicēji dzīvokļa apsildes radiatoriem. Ierīces ar elektroenerģijas avotu”.</w:t>
      </w:r>
    </w:p>
    <w:p w14:paraId="40B2D9F7" w14:textId="77777777" w:rsidR="00302F72" w:rsidRPr="003E562D" w:rsidRDefault="00C85AFC" w:rsidP="008F34F1">
      <w:pPr>
        <w:widowControl/>
        <w:spacing w:after="0" w:line="240" w:lineRule="auto"/>
        <w:ind w:left="851"/>
        <w:contextualSpacing/>
        <w:jc w:val="both"/>
        <w:rPr>
          <w:rFonts w:ascii="Times New Roman" w:hAnsi="Times New Roman"/>
          <w:i/>
          <w:iCs/>
          <w:sz w:val="25"/>
          <w:szCs w:val="25"/>
          <w:shd w:val="clear" w:color="auto" w:fill="FFFFFF"/>
        </w:rPr>
      </w:pP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31.1. Dzīvojamās mājās, kurās siltumenerģijas uzskaiti (sadali) veic ar </w:t>
      </w:r>
      <w:r w:rsidRPr="003E562D">
        <w:rPr>
          <w:rFonts w:ascii="Times New Roman" w:hAnsi="Times New Roman"/>
          <w:b/>
          <w:bCs/>
          <w:i/>
          <w:iCs/>
          <w:sz w:val="25"/>
          <w:szCs w:val="25"/>
          <w:shd w:val="clear" w:color="auto" w:fill="FFFFFF"/>
        </w:rPr>
        <w:t>siltumenerģijas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 skaitītāju dzīvojamās mājas ievadā un  siltumenerģijas patēriņa noteikšanas sistēmu, personai, kura aprēķina maksājamās daļas apmēru, ir pienākums, veicot maksājamo daļu aprēķināšanu, ievērot šo noteikumu 19.6</w:t>
      </w:r>
      <w:r w:rsidR="007F07D8"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 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punktā noteikto kārtību un piemērot šo noteik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umu 21. un 22. pielikumā norādītos koeficientus. Šo noteikumu 21.pielikumā norādītos koeficientus var nepiemērot, ja tos noteicis neatkarīgs eksperts saskaņā ar standartu LVS EN 834+AC:2021 </w:t>
      </w:r>
      <w:r w:rsidR="007F07D8"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“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Siltumenerģijas patēriņa noteicēji dzīvokļa apsildes radiatoriem.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 Ierīces ar elektroenerģijas avotu</w:t>
      </w:r>
      <w:r w:rsidR="007F07D8"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”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.</w:t>
      </w:r>
      <w:r w:rsidR="007F07D8"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”</w:t>
      </w:r>
    </w:p>
    <w:p w14:paraId="2860A037" w14:textId="77777777" w:rsidR="00302F72" w:rsidRPr="003E562D" w:rsidRDefault="00302F72" w:rsidP="00302F72">
      <w:pPr>
        <w:widowControl/>
        <w:spacing w:after="0" w:line="240" w:lineRule="auto"/>
        <w:jc w:val="both"/>
        <w:rPr>
          <w:rFonts w:ascii="Times New Roman" w:hAnsi="Times New Roman"/>
          <w:i/>
          <w:iCs/>
          <w:sz w:val="25"/>
          <w:szCs w:val="25"/>
          <w:shd w:val="clear" w:color="auto" w:fill="FFFFFF"/>
        </w:rPr>
      </w:pPr>
    </w:p>
    <w:p w14:paraId="1DEF1C66" w14:textId="77777777" w:rsidR="00302F72" w:rsidRPr="003E562D" w:rsidRDefault="00C85AFC" w:rsidP="00302F72">
      <w:pPr>
        <w:widowControl/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5"/>
          <w:szCs w:val="25"/>
        </w:rPr>
      </w:pPr>
      <w:r w:rsidRPr="003E562D">
        <w:rPr>
          <w:rFonts w:ascii="Times New Roman" w:eastAsia="Times New Roman" w:hAnsi="Times New Roman"/>
          <w:sz w:val="25"/>
          <w:szCs w:val="25"/>
        </w:rPr>
        <w:t xml:space="preserve">izteikt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 xml:space="preserve">Noteikumu Nr.524 </w:t>
      </w:r>
      <w:r w:rsidRPr="003E562D">
        <w:rPr>
          <w:rFonts w:ascii="Times New Roman" w:eastAsia="Times New Roman" w:hAnsi="Times New Roman"/>
          <w:sz w:val="25"/>
          <w:szCs w:val="25"/>
        </w:rPr>
        <w:t>33.punktu šādā redakcijā:</w:t>
      </w:r>
    </w:p>
    <w:p w14:paraId="7921344A" w14:textId="77777777" w:rsidR="00302F72" w:rsidRPr="003E562D" w:rsidRDefault="00C85AFC" w:rsidP="008F34F1">
      <w:pPr>
        <w:widowControl/>
        <w:spacing w:after="0" w:line="240" w:lineRule="auto"/>
        <w:ind w:left="851"/>
        <w:contextualSpacing/>
        <w:jc w:val="both"/>
        <w:rPr>
          <w:rFonts w:ascii="Times New Roman" w:hAnsi="Times New Roman"/>
          <w:i/>
          <w:iCs/>
          <w:sz w:val="25"/>
          <w:szCs w:val="25"/>
          <w:shd w:val="clear" w:color="auto" w:fill="FFFFFF"/>
        </w:rPr>
      </w:pP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“33. Siltumenerģijas uzskaites (sadales) sistēma un šo noteikumu pielikumos vai cita saskaņā ar šo noteikumu 23.punktu noteiktā metodika nav izmantojamas, un maksājam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o daļu par siltumenerģijas patēriņu dzīvoklī aprēķina pēc metodikas, kas bija pirms individuālā siltumenerģijas patēriņa ierīču uzstādīšanas dzīvokļos, ja:</w:t>
      </w:r>
    </w:p>
    <w:p w14:paraId="09E006C7" w14:textId="77777777" w:rsidR="00302F72" w:rsidRPr="003E562D" w:rsidRDefault="00C85AFC" w:rsidP="008F34F1">
      <w:pPr>
        <w:widowControl/>
        <w:spacing w:after="0" w:line="240" w:lineRule="auto"/>
        <w:ind w:left="851"/>
        <w:contextualSpacing/>
        <w:jc w:val="both"/>
        <w:rPr>
          <w:rFonts w:ascii="Times New Roman" w:hAnsi="Times New Roman"/>
          <w:i/>
          <w:iCs/>
          <w:sz w:val="25"/>
          <w:szCs w:val="25"/>
          <w:shd w:val="clear" w:color="auto" w:fill="FFFFFF"/>
        </w:rPr>
      </w:pP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33.1. dzīvojamā mājā individuālā siltumenerģijas patēriņa ierīces tiek uzstādītas mazāk par 70% no k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opējā dzīvokļu īpašuma skaita;</w:t>
      </w:r>
    </w:p>
    <w:p w14:paraId="7270B890" w14:textId="77777777" w:rsidR="00302F72" w:rsidRPr="003E562D" w:rsidRDefault="00C85AFC" w:rsidP="008F34F1">
      <w:pPr>
        <w:widowControl/>
        <w:spacing w:after="0" w:line="240" w:lineRule="auto"/>
        <w:ind w:left="851"/>
        <w:contextualSpacing/>
        <w:jc w:val="both"/>
        <w:rPr>
          <w:rFonts w:ascii="Times New Roman" w:hAnsi="Times New Roman"/>
          <w:i/>
          <w:iCs/>
          <w:sz w:val="25"/>
          <w:szCs w:val="25"/>
          <w:shd w:val="clear" w:color="auto" w:fill="FFFFFF"/>
        </w:rPr>
      </w:pP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33.2. ierīce</w:t>
      </w:r>
      <w:r w:rsidR="00E132C7"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, kam paredzēta attālinātā informācijas nolasīšana,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 nav ar CE atbilstības marķējumu un nav veikta produkta atbilstības novērtēšana saistošajam normatīvajam regulējumam attiecībā uz radioiekārtu regulējumā noteiktajām prasībām;</w:t>
      </w:r>
    </w:p>
    <w:p w14:paraId="696555F6" w14:textId="77777777" w:rsidR="00302F72" w:rsidRPr="003E562D" w:rsidRDefault="00C85AFC" w:rsidP="008F34F1">
      <w:pPr>
        <w:widowControl/>
        <w:spacing w:after="0" w:line="240" w:lineRule="auto"/>
        <w:ind w:left="851"/>
        <w:contextualSpacing/>
        <w:jc w:val="both"/>
        <w:rPr>
          <w:rFonts w:ascii="Times New Roman" w:hAnsi="Times New Roman"/>
          <w:i/>
          <w:iCs/>
          <w:sz w:val="25"/>
          <w:szCs w:val="25"/>
          <w:shd w:val="clear" w:color="auto" w:fill="FFFFFF"/>
        </w:rPr>
      </w:pP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33.3. siltumenerģijas sadalījumā starp dzīvokļiem uz vienu kvadrātmetru, izmanto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jot individuālā siltumenerģijas patēriņa ierīces dzīvokļos, atšķiras vairāk par 40%;</w:t>
      </w:r>
    </w:p>
    <w:p w14:paraId="6F9F9CB3" w14:textId="77777777" w:rsidR="00302F72" w:rsidRPr="003E562D" w:rsidRDefault="00C85AFC" w:rsidP="008F34F1">
      <w:pPr>
        <w:widowControl/>
        <w:spacing w:after="0" w:line="240" w:lineRule="auto"/>
        <w:ind w:left="851"/>
        <w:contextualSpacing/>
        <w:jc w:val="both"/>
        <w:rPr>
          <w:rFonts w:ascii="Times New Roman" w:hAnsi="Times New Roman"/>
          <w:i/>
          <w:iCs/>
          <w:sz w:val="25"/>
          <w:szCs w:val="25"/>
          <w:shd w:val="clear" w:color="auto" w:fill="FFFFFF"/>
        </w:rPr>
      </w:pP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33.4. netiek pielietoti šo noteikumu 21. un 22. pielikumā norādītie koeficienti,  izņemot šo noteikumu 32. punktā minētos apstākļus.</w:t>
      </w:r>
      <w:r w:rsidR="007F07D8"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”</w:t>
      </w:r>
    </w:p>
    <w:p w14:paraId="594B732A" w14:textId="77777777" w:rsidR="00302F72" w:rsidRPr="003E562D" w:rsidRDefault="00302F72" w:rsidP="00302F72">
      <w:pPr>
        <w:widowControl/>
        <w:spacing w:after="0" w:line="240" w:lineRule="auto"/>
        <w:jc w:val="both"/>
        <w:rPr>
          <w:rFonts w:ascii="Times New Roman" w:eastAsia="Times New Roman" w:hAnsi="Times New Roman"/>
          <w:i/>
          <w:iCs/>
          <w:sz w:val="25"/>
          <w:szCs w:val="25"/>
        </w:rPr>
      </w:pPr>
    </w:p>
    <w:p w14:paraId="3E8E0114" w14:textId="77777777" w:rsidR="00302F72" w:rsidRPr="003E562D" w:rsidRDefault="00C85AFC" w:rsidP="00302F72">
      <w:pPr>
        <w:widowControl/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5"/>
          <w:szCs w:val="25"/>
        </w:rPr>
      </w:pPr>
      <w:r w:rsidRPr="003E562D">
        <w:rPr>
          <w:rFonts w:ascii="Times New Roman" w:eastAsia="Times New Roman" w:hAnsi="Times New Roman"/>
          <w:sz w:val="25"/>
          <w:szCs w:val="25"/>
        </w:rPr>
        <w:t xml:space="preserve">izteikt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 xml:space="preserve">Noteikumu Nr.730 </w:t>
      </w:r>
      <w:r w:rsidRPr="003E562D">
        <w:rPr>
          <w:rFonts w:ascii="Times New Roman" w:eastAsia="Times New Roman" w:hAnsi="Times New Roman"/>
          <w:sz w:val="25"/>
          <w:szCs w:val="25"/>
        </w:rPr>
        <w:t>5.punktu šādā redakcijā:</w:t>
      </w:r>
    </w:p>
    <w:p w14:paraId="68CC288A" w14:textId="77777777" w:rsidR="00302F72" w:rsidRPr="003E562D" w:rsidRDefault="00C85AFC" w:rsidP="008F34F1">
      <w:pPr>
        <w:widowControl/>
        <w:spacing w:after="0" w:line="240" w:lineRule="auto"/>
        <w:ind w:left="851"/>
        <w:contextualSpacing/>
        <w:jc w:val="both"/>
        <w:rPr>
          <w:rFonts w:ascii="Times New Roman" w:hAnsi="Times New Roman"/>
          <w:i/>
          <w:iCs/>
          <w:sz w:val="25"/>
          <w:szCs w:val="25"/>
          <w:shd w:val="clear" w:color="auto" w:fill="FFFFFF"/>
        </w:rPr>
      </w:pP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“5. Daudzdzīvokļu dzīvojamā mājā patērēto siltumenerģiju uzskaita atsevišķi katrai dzīvojamo un nedzīvojamo telpu grupai. Patērētās siltumenerģijas uzskaitē izmanto attālināti nolasāmus individuālus siltumenerģijas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 skaitītājus, individuālus siltuma maksas sadalītājus katram </w:t>
      </w:r>
      <w:proofErr w:type="spellStart"/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sildelementam</w:t>
      </w:r>
      <w:proofErr w:type="spellEnd"/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 vai siltumenerģijas patēriņa noteikšanas sistēmu, izmantojot tiešsaistē periodiski fiksētus siltumnesēja caurplūdes un apkures cauruļvadu virsmu temperatūras datus (turpmāk – siltum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enerģijas patēriņa noteikšanas sistēma),  izņemot,  ja minēto ierīču uzstādīšana nav tehniski iespējama vai nav ekonomiski pamatota. Individuālie siltumenerģijas skaitītāji atbilst metroloģiskajām prasībām, kas noteiktas normatīvajos aktos par mērījumu vie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notību, </w:t>
      </w:r>
      <w:r w:rsidRPr="003E562D">
        <w:rPr>
          <w:rFonts w:ascii="Times New Roman" w:hAnsi="Times New Roman"/>
          <w:b/>
          <w:bCs/>
          <w:i/>
          <w:iCs/>
          <w:sz w:val="25"/>
          <w:szCs w:val="25"/>
          <w:shd w:val="clear" w:color="auto" w:fill="FFFFFF"/>
        </w:rPr>
        <w:t>siltumenerģijas patēriņa noteikšanas sistēma, izmantojot tiešsaistē periodiski fiksētus siltumnesēja caurplūdes un apkures cauruļvadu virsmu temperatūras datus atbilst dzīvojamās mājas īpašnieku un radioiekārtu regulējumā noteiktajām prasībām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, bet 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individuālie siltuma maksas sadalītāji atbilst prasībām, kas noteiktas standartā LVS EN 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lastRenderedPageBreak/>
        <w:t>834+AC:2021 “Siltumenerģijas patēriņa noteicēji dzīvokļa apsildes radiatoriem. Ierīces ar elektroenerģijas avotu”.</w:t>
      </w:r>
    </w:p>
    <w:p w14:paraId="7B3C32E3" w14:textId="77777777" w:rsidR="007F07D8" w:rsidRPr="003E562D" w:rsidRDefault="007F07D8" w:rsidP="00302F72">
      <w:pPr>
        <w:widowControl/>
        <w:spacing w:after="0" w:line="240" w:lineRule="auto"/>
        <w:jc w:val="both"/>
        <w:rPr>
          <w:rFonts w:ascii="Times New Roman" w:hAnsi="Times New Roman"/>
          <w:i/>
          <w:iCs/>
          <w:sz w:val="25"/>
          <w:szCs w:val="25"/>
          <w:shd w:val="clear" w:color="auto" w:fill="FFFFFF"/>
        </w:rPr>
      </w:pPr>
    </w:p>
    <w:p w14:paraId="4F7918DD" w14:textId="77777777" w:rsidR="00E132C7" w:rsidRPr="003E562D" w:rsidRDefault="00C85AFC" w:rsidP="00302F72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5"/>
          <w:szCs w:val="25"/>
          <w:shd w:val="clear" w:color="auto" w:fill="FFFFFF"/>
        </w:rPr>
      </w:pP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>PTAC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 izvērtējot kopumā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>Noteikumu projekta 524 un Not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>eikumu 730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 redakcijas, aicina </w:t>
      </w:r>
      <w:r w:rsidRPr="003E562D">
        <w:rPr>
          <w:rFonts w:ascii="Times New Roman" w:eastAsia="Times New Roman" w:hAnsi="Times New Roman"/>
          <w:i/>
          <w:iCs/>
          <w:sz w:val="25"/>
          <w:szCs w:val="25"/>
        </w:rPr>
        <w:t>EM</w:t>
      </w:r>
      <w:r w:rsidRPr="003E562D">
        <w:rPr>
          <w:rFonts w:ascii="Times New Roman" w:eastAsia="Times New Roman" w:hAnsi="Times New Roman"/>
          <w:sz w:val="25"/>
          <w:szCs w:val="25"/>
        </w:rPr>
        <w:t xml:space="preserve"> izvērtēt nepieciešamību iekļaut noteikumos priekšnoteikumus par radiatoriem ar</w:t>
      </w:r>
      <w:r w:rsidR="007F07D8" w:rsidRPr="003E562D">
        <w:rPr>
          <w:rFonts w:ascii="Times New Roman" w:eastAsia="Times New Roman" w:hAnsi="Times New Roman"/>
          <w:sz w:val="25"/>
          <w:szCs w:val="25"/>
        </w:rPr>
        <w:t xml:space="preserve"> aprīkotiem </w:t>
      </w:r>
      <w:proofErr w:type="spellStart"/>
      <w:r w:rsidRPr="003E562D">
        <w:rPr>
          <w:rFonts w:ascii="Times New Roman" w:eastAsia="Times New Roman" w:hAnsi="Times New Roman"/>
          <w:sz w:val="25"/>
          <w:szCs w:val="25"/>
        </w:rPr>
        <w:t>termoregulatoriem</w:t>
      </w:r>
      <w:proofErr w:type="spellEnd"/>
      <w:r w:rsidRPr="003E562D">
        <w:rPr>
          <w:rFonts w:ascii="Times New Roman" w:eastAsia="Times New Roman" w:hAnsi="Times New Roman"/>
          <w:sz w:val="25"/>
          <w:szCs w:val="25"/>
        </w:rPr>
        <w:t xml:space="preserve">, </w:t>
      </w:r>
      <w:r w:rsidRPr="003E562D">
        <w:rPr>
          <w:rFonts w:ascii="Times New Roman" w:hAnsi="Times New Roman"/>
          <w:sz w:val="25"/>
          <w:szCs w:val="25"/>
          <w:shd w:val="clear" w:color="auto" w:fill="FFFFFF"/>
        </w:rPr>
        <w:t xml:space="preserve">daudzdzīvokļu dzīvojamās mājās, kuras vēlas uzstādīt </w:t>
      </w:r>
      <w:proofErr w:type="spellStart"/>
      <w:r w:rsidR="00946E88" w:rsidRPr="003E562D">
        <w:rPr>
          <w:rFonts w:ascii="Times New Roman" w:hAnsi="Times New Roman"/>
          <w:sz w:val="25"/>
          <w:szCs w:val="25"/>
          <w:shd w:val="clear" w:color="auto" w:fill="FFFFFF"/>
        </w:rPr>
        <w:t>alokatorus</w:t>
      </w:r>
      <w:proofErr w:type="spellEnd"/>
      <w:r w:rsidR="00946E88" w:rsidRPr="003E562D">
        <w:rPr>
          <w:rFonts w:ascii="Times New Roman" w:hAnsi="Times New Roman"/>
          <w:sz w:val="25"/>
          <w:szCs w:val="25"/>
          <w:shd w:val="clear" w:color="auto" w:fill="FFFFFF"/>
        </w:rPr>
        <w:t xml:space="preserve"> vai </w:t>
      </w:r>
      <w:r w:rsidRPr="003E562D">
        <w:rPr>
          <w:rFonts w:ascii="Times New Roman" w:hAnsi="Times New Roman"/>
          <w:sz w:val="25"/>
          <w:szCs w:val="25"/>
          <w:shd w:val="clear" w:color="auto" w:fill="FFFFFF"/>
        </w:rPr>
        <w:t xml:space="preserve">siltumenerģijas patēriņa noteikšanas sistēmu, izmantojot tiešsaistē periodiski fiksētus siltumnesēja caurplūdes un apkures cauruļvadu virsmu temperatūras datus dzīvokļos, līdz ar to patērētājs varētu samazināt sev nepieciešamo enerģijas patēriņu pēc </w:t>
      </w:r>
      <w:r w:rsidR="00946E88" w:rsidRPr="003E562D">
        <w:rPr>
          <w:rFonts w:ascii="Times New Roman" w:hAnsi="Times New Roman"/>
          <w:sz w:val="25"/>
          <w:szCs w:val="25"/>
          <w:shd w:val="clear" w:color="auto" w:fill="FFFFFF"/>
        </w:rPr>
        <w:t>nepieciešamības</w:t>
      </w:r>
      <w:r w:rsidRPr="003E562D">
        <w:rPr>
          <w:rFonts w:ascii="Times New Roman" w:hAnsi="Times New Roman"/>
          <w:sz w:val="25"/>
          <w:szCs w:val="25"/>
          <w:shd w:val="clear" w:color="auto" w:fill="FFFFFF"/>
        </w:rPr>
        <w:t xml:space="preserve">. </w:t>
      </w:r>
    </w:p>
    <w:p w14:paraId="73BBAD6D" w14:textId="77777777" w:rsidR="00302F72" w:rsidRPr="003E562D" w:rsidRDefault="00C85AFC" w:rsidP="00302F72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5"/>
          <w:szCs w:val="25"/>
          <w:shd w:val="clear" w:color="auto" w:fill="FFFFFF"/>
        </w:rPr>
      </w:pPr>
      <w:r w:rsidRPr="003E562D">
        <w:rPr>
          <w:rFonts w:ascii="Times New Roman" w:hAnsi="Times New Roman"/>
          <w:sz w:val="25"/>
          <w:szCs w:val="25"/>
          <w:shd w:val="clear" w:color="auto" w:fill="FFFFFF"/>
        </w:rPr>
        <w:t xml:space="preserve">Papildus 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PTAC </w:t>
      </w:r>
      <w:r w:rsidRPr="003E562D">
        <w:rPr>
          <w:rFonts w:ascii="Times New Roman" w:hAnsi="Times New Roman"/>
          <w:sz w:val="25"/>
          <w:szCs w:val="25"/>
          <w:shd w:val="clear" w:color="auto" w:fill="FFFFFF"/>
        </w:rPr>
        <w:t>aicina</w:t>
      </w:r>
      <w:r w:rsidRPr="003E562D"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 EM </w:t>
      </w:r>
      <w:r w:rsidRPr="003E562D">
        <w:rPr>
          <w:rFonts w:ascii="Times New Roman" w:hAnsi="Times New Roman"/>
          <w:sz w:val="25"/>
          <w:szCs w:val="25"/>
          <w:shd w:val="clear" w:color="auto" w:fill="FFFFFF"/>
        </w:rPr>
        <w:t xml:space="preserve">izvērtēt nepieciešamību paredzēt uzraudzības procesu no valsts puses siltumenerģijas uzskaites pakalpojuma sniegšanai. </w:t>
      </w:r>
    </w:p>
    <w:p w14:paraId="01F911F5" w14:textId="77777777" w:rsidR="002F53E0" w:rsidRPr="003E562D" w:rsidRDefault="00C85AFC" w:rsidP="002E1A6C">
      <w:pPr>
        <w:widowControl/>
        <w:spacing w:before="240" w:after="240" w:line="240" w:lineRule="auto"/>
        <w:jc w:val="both"/>
        <w:rPr>
          <w:rFonts w:ascii="Times New Roman" w:hAnsi="Times New Roman"/>
          <w:b/>
          <w:i/>
          <w:noProof/>
          <w:spacing w:val="-4"/>
          <w:sz w:val="25"/>
          <w:szCs w:val="25"/>
        </w:rPr>
      </w:pPr>
      <w:r w:rsidRPr="003E562D">
        <w:rPr>
          <w:rFonts w:ascii="Times New Roman" w:hAnsi="Times New Roman"/>
          <w:b/>
          <w:i/>
          <w:noProof/>
          <w:spacing w:val="-4"/>
          <w:sz w:val="25"/>
          <w:szCs w:val="25"/>
        </w:rPr>
        <w:t>Šis dokuments ir parakstīts ar drošu elektronisko parakstu un satur laika zīmogu</w:t>
      </w:r>
      <w:r w:rsidR="004516D6" w:rsidRPr="003E562D">
        <w:rPr>
          <w:rFonts w:ascii="Times New Roman" w:hAnsi="Times New Roman"/>
          <w:b/>
          <w:i/>
          <w:noProof/>
          <w:spacing w:val="-4"/>
          <w:sz w:val="25"/>
          <w:szCs w:val="25"/>
        </w:rPr>
        <w:t>.</w:t>
      </w:r>
    </w:p>
    <w:p w14:paraId="4B329216" w14:textId="77777777" w:rsidR="002F53E0" w:rsidRPr="003E562D" w:rsidRDefault="00C85AFC" w:rsidP="00C80C2D">
      <w:pPr>
        <w:widowControl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5"/>
          <w:szCs w:val="25"/>
        </w:rPr>
      </w:pPr>
      <w:r w:rsidRPr="003E562D">
        <w:rPr>
          <w:rFonts w:ascii="Times New Roman" w:eastAsia="Times New Roman" w:hAnsi="Times New Roman"/>
          <w:noProof/>
          <w:sz w:val="25"/>
          <w:szCs w:val="25"/>
        </w:rPr>
        <w:t>Direktora p.i.</w:t>
      </w:r>
      <w:r w:rsidR="003609F9" w:rsidRPr="003E562D">
        <w:rPr>
          <w:rFonts w:ascii="Times New Roman" w:eastAsia="Times New Roman" w:hAnsi="Times New Roman"/>
          <w:noProof/>
          <w:sz w:val="25"/>
          <w:szCs w:val="25"/>
        </w:rPr>
        <w:tab/>
      </w:r>
      <w:r w:rsidR="006A2CE5" w:rsidRPr="003E562D">
        <w:rPr>
          <w:rFonts w:ascii="Times New Roman" w:eastAsia="Times New Roman" w:hAnsi="Times New Roman"/>
          <w:noProof/>
          <w:sz w:val="25"/>
          <w:szCs w:val="25"/>
        </w:rPr>
        <w:t>E.Drozda</w:t>
      </w:r>
    </w:p>
    <w:p w14:paraId="6E1B24AB" w14:textId="77777777" w:rsidR="002F53E0" w:rsidRPr="003142AE" w:rsidRDefault="00C85AFC" w:rsidP="002B1152">
      <w:pPr>
        <w:widowControl/>
        <w:tabs>
          <w:tab w:val="left" w:pos="6840"/>
        </w:tabs>
        <w:spacing w:before="960" w:after="0" w:line="240" w:lineRule="auto"/>
        <w:jc w:val="both"/>
        <w:rPr>
          <w:rFonts w:ascii="Times New Roman" w:eastAsia="Times New Roman" w:hAnsi="Times New Roman"/>
          <w:sz w:val="17"/>
          <w:szCs w:val="17"/>
        </w:rPr>
      </w:pPr>
      <w:r>
        <w:rPr>
          <w:rFonts w:ascii="Times New Roman" w:eastAsia="Times New Roman" w:hAnsi="Times New Roman"/>
          <w:noProof/>
          <w:sz w:val="17"/>
          <w:szCs w:val="17"/>
        </w:rPr>
        <w:t>Andis Lagzdiņš</w:t>
      </w:r>
      <w:r>
        <w:rPr>
          <w:rFonts w:ascii="Times New Roman" w:eastAsia="Times New Roman" w:hAnsi="Times New Roman"/>
          <w:sz w:val="17"/>
          <w:szCs w:val="17"/>
        </w:rPr>
        <w:t xml:space="preserve"> </w:t>
      </w:r>
      <w:r>
        <w:rPr>
          <w:rFonts w:ascii="Times New Roman" w:eastAsia="Times New Roman" w:hAnsi="Times New Roman"/>
          <w:noProof/>
          <w:sz w:val="17"/>
          <w:szCs w:val="17"/>
        </w:rPr>
        <w:t>68806552</w:t>
      </w:r>
    </w:p>
    <w:p w14:paraId="225A9A53" w14:textId="77777777" w:rsidR="002F53E0" w:rsidRDefault="00C85AFC" w:rsidP="002F53E0">
      <w:pPr>
        <w:widowControl/>
        <w:tabs>
          <w:tab w:val="left" w:pos="6840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17"/>
          <w:szCs w:val="17"/>
        </w:rPr>
      </w:pPr>
      <w:hyperlink r:id="rId8" w:history="1">
        <w:r w:rsidR="00302F72">
          <w:rPr>
            <w:rFonts w:ascii="Times New Roman" w:eastAsia="Times New Roman" w:hAnsi="Times New Roman"/>
            <w:noProof/>
            <w:sz w:val="17"/>
            <w:szCs w:val="17"/>
          </w:rPr>
          <w:t>Andis.Lagzdins@ptac.gov.lv</w:t>
        </w:r>
      </w:hyperlink>
    </w:p>
    <w:p w14:paraId="08DF32B4" w14:textId="77777777" w:rsidR="00A6217C" w:rsidRDefault="00C85AFC" w:rsidP="00A6217C">
      <w:pPr>
        <w:widowControl/>
        <w:tabs>
          <w:tab w:val="left" w:pos="6840"/>
        </w:tabs>
        <w:spacing w:before="360"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noProof/>
          <w:sz w:val="16"/>
          <w:szCs w:val="16"/>
        </w:rPr>
        <w:t>Iveta Svīķe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/>
          <w:noProof/>
          <w:sz w:val="16"/>
          <w:szCs w:val="16"/>
        </w:rPr>
        <w:t>68806501</w:t>
      </w:r>
    </w:p>
    <w:p w14:paraId="75A8E0FB" w14:textId="77777777" w:rsidR="00A6217C" w:rsidRPr="00A6217C" w:rsidRDefault="00C85AFC" w:rsidP="00A6217C">
      <w:pPr>
        <w:widowControl/>
        <w:tabs>
          <w:tab w:val="left" w:pos="6840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16"/>
          <w:szCs w:val="16"/>
        </w:rPr>
      </w:pPr>
      <w:hyperlink r:id="rId9" w:history="1">
        <w:r w:rsidRPr="00A6217C">
          <w:rPr>
            <w:rFonts w:ascii="Times New Roman" w:eastAsia="Times New Roman" w:hAnsi="Times New Roman"/>
            <w:noProof/>
            <w:sz w:val="16"/>
            <w:szCs w:val="16"/>
          </w:rPr>
          <w:t>Iveta.Svike@ptac.gov.lv</w:t>
        </w:r>
      </w:hyperlink>
    </w:p>
    <w:p w14:paraId="6ACBE2DC" w14:textId="77777777" w:rsidR="00A6217C" w:rsidRPr="003142AE" w:rsidRDefault="00A6217C" w:rsidP="002F53E0">
      <w:pPr>
        <w:widowControl/>
        <w:tabs>
          <w:tab w:val="left" w:pos="6840"/>
        </w:tabs>
        <w:spacing w:after="0" w:line="240" w:lineRule="auto"/>
        <w:jc w:val="both"/>
        <w:rPr>
          <w:rFonts w:ascii="Times New Roman" w:eastAsia="Times New Roman" w:hAnsi="Times New Roman"/>
          <w:sz w:val="17"/>
          <w:szCs w:val="17"/>
        </w:rPr>
      </w:pPr>
    </w:p>
    <w:sectPr w:rsidR="00A6217C" w:rsidRPr="003142AE" w:rsidSect="00855B92">
      <w:headerReference w:type="default" r:id="rId10"/>
      <w:headerReference w:type="first" r:id="rId11"/>
      <w:type w:val="continuous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8E059" w14:textId="77777777" w:rsidR="00C85AFC" w:rsidRDefault="00C85AFC">
      <w:pPr>
        <w:spacing w:after="0" w:line="240" w:lineRule="auto"/>
      </w:pPr>
      <w:r>
        <w:separator/>
      </w:r>
    </w:p>
  </w:endnote>
  <w:endnote w:type="continuationSeparator" w:id="0">
    <w:p w14:paraId="142B67D0" w14:textId="77777777" w:rsidR="00C85AFC" w:rsidRDefault="00C85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AFE7F" w14:textId="77777777" w:rsidR="00302F72" w:rsidRDefault="00C85AFC">
      <w:pPr>
        <w:spacing w:after="0" w:line="240" w:lineRule="auto"/>
      </w:pPr>
      <w:r>
        <w:separator/>
      </w:r>
    </w:p>
  </w:footnote>
  <w:footnote w:type="continuationSeparator" w:id="0">
    <w:p w14:paraId="2579E885" w14:textId="77777777" w:rsidR="00302F72" w:rsidRDefault="00C85AFC">
      <w:pPr>
        <w:spacing w:after="0" w:line="240" w:lineRule="auto"/>
      </w:pPr>
      <w:r>
        <w:continuationSeparator/>
      </w:r>
    </w:p>
  </w:footnote>
  <w:footnote w:id="1">
    <w:p w14:paraId="3EEF4308" w14:textId="77777777" w:rsidR="00302F72" w:rsidRPr="00763C1E" w:rsidRDefault="00C85AFC" w:rsidP="00302F72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>
        <w:t xml:space="preserve"> </w:t>
      </w:r>
      <w:r w:rsidRPr="00F84789">
        <w:rPr>
          <w:rFonts w:ascii="Times New Roman" w:hAnsi="Times New Roman"/>
          <w:sz w:val="18"/>
          <w:szCs w:val="18"/>
          <w:lang w:val="lv-LV"/>
        </w:rPr>
        <w:t>Ministru kabineta 202</w:t>
      </w:r>
      <w:r>
        <w:rPr>
          <w:rFonts w:ascii="Times New Roman" w:hAnsi="Times New Roman"/>
          <w:sz w:val="18"/>
          <w:szCs w:val="18"/>
          <w:lang w:val="lv-LV"/>
        </w:rPr>
        <w:t>4</w:t>
      </w:r>
      <w:r w:rsidRPr="00F84789">
        <w:rPr>
          <w:rFonts w:ascii="Times New Roman" w:hAnsi="Times New Roman"/>
          <w:sz w:val="18"/>
          <w:szCs w:val="18"/>
          <w:lang w:val="lv-LV"/>
        </w:rPr>
        <w:t xml:space="preserve">. gada 14. </w:t>
      </w:r>
      <w:r>
        <w:rPr>
          <w:rFonts w:ascii="Times New Roman" w:hAnsi="Times New Roman"/>
          <w:sz w:val="18"/>
          <w:szCs w:val="18"/>
          <w:lang w:val="lv-LV"/>
        </w:rPr>
        <w:t>maija</w:t>
      </w:r>
      <w:r w:rsidRPr="00F84789">
        <w:rPr>
          <w:rFonts w:ascii="Times New Roman" w:hAnsi="Times New Roman"/>
          <w:sz w:val="18"/>
          <w:szCs w:val="18"/>
          <w:lang w:val="lv-LV"/>
        </w:rPr>
        <w:t xml:space="preserve"> noteikumi Nr. 4</w:t>
      </w:r>
      <w:r>
        <w:rPr>
          <w:rFonts w:ascii="Times New Roman" w:hAnsi="Times New Roman"/>
          <w:sz w:val="18"/>
          <w:szCs w:val="18"/>
          <w:lang w:val="lv-LV"/>
        </w:rPr>
        <w:t>0</w:t>
      </w:r>
      <w:r w:rsidRPr="00F84789">
        <w:rPr>
          <w:rFonts w:ascii="Times New Roman" w:hAnsi="Times New Roman"/>
          <w:sz w:val="18"/>
          <w:szCs w:val="18"/>
          <w:lang w:val="lv-LV"/>
        </w:rPr>
        <w:t xml:space="preserve"> "</w:t>
      </w:r>
      <w:r w:rsidRPr="00763C1E">
        <w:t xml:space="preserve"> </w:t>
      </w:r>
      <w:r w:rsidRPr="00763C1E">
        <w:rPr>
          <w:rFonts w:ascii="Times New Roman" w:hAnsi="Times New Roman"/>
          <w:sz w:val="18"/>
          <w:szCs w:val="18"/>
          <w:lang w:val="lv-LV"/>
        </w:rPr>
        <w:t xml:space="preserve">Noteikumi par valsts metroloģiskajai kontrolei pakļauto mērīšanas </w:t>
      </w:r>
      <w:r w:rsidRPr="00763C1E">
        <w:rPr>
          <w:rFonts w:ascii="Times New Roman" w:hAnsi="Times New Roman"/>
          <w:sz w:val="18"/>
          <w:szCs w:val="18"/>
          <w:lang w:val="lv-LV"/>
        </w:rPr>
        <w:t>līdzekļu sarakstu</w:t>
      </w:r>
      <w:r w:rsidRPr="00F84789">
        <w:rPr>
          <w:rFonts w:ascii="Times New Roman" w:hAnsi="Times New Roman"/>
          <w:sz w:val="18"/>
          <w:szCs w:val="18"/>
          <w:lang w:val="lv-LV"/>
        </w:rPr>
        <w:t>"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45682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28A871" w14:textId="77777777" w:rsidR="00855B92" w:rsidRDefault="00C85AFC">
        <w:pPr>
          <w:pStyle w:val="Header"/>
          <w:jc w:val="center"/>
        </w:pPr>
        <w:r w:rsidRPr="00B454A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54A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454A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189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454A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AD2CF8B" w14:textId="77777777" w:rsidR="00AF6E6C" w:rsidRPr="00AF6E6C" w:rsidRDefault="00AF6E6C" w:rsidP="00AF6E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B71DD" w14:textId="77777777" w:rsidR="00855B92" w:rsidRDefault="00855B92" w:rsidP="00855B92">
    <w:pPr>
      <w:pStyle w:val="Header"/>
      <w:rPr>
        <w:rFonts w:ascii="Times New Roman" w:hAnsi="Times New Roman"/>
      </w:rPr>
    </w:pPr>
  </w:p>
  <w:p w14:paraId="600BCC67" w14:textId="77777777" w:rsidR="00855B92" w:rsidRDefault="00855B92" w:rsidP="00855B92">
    <w:pPr>
      <w:pStyle w:val="Header"/>
      <w:rPr>
        <w:rFonts w:ascii="Times New Roman" w:hAnsi="Times New Roman"/>
      </w:rPr>
    </w:pPr>
  </w:p>
  <w:p w14:paraId="3FAD7032" w14:textId="77777777" w:rsidR="00855B92" w:rsidRDefault="00855B92" w:rsidP="00855B92">
    <w:pPr>
      <w:pStyle w:val="Header"/>
      <w:rPr>
        <w:rFonts w:ascii="Times New Roman" w:hAnsi="Times New Roman"/>
      </w:rPr>
    </w:pPr>
  </w:p>
  <w:p w14:paraId="7BB613C3" w14:textId="77777777" w:rsidR="00855B92" w:rsidRDefault="00855B92" w:rsidP="00855B92">
    <w:pPr>
      <w:pStyle w:val="Header"/>
      <w:rPr>
        <w:rFonts w:ascii="Times New Roman" w:hAnsi="Times New Roman"/>
      </w:rPr>
    </w:pPr>
  </w:p>
  <w:p w14:paraId="13212BBC" w14:textId="77777777" w:rsidR="00855B92" w:rsidRDefault="00855B92" w:rsidP="00855B92">
    <w:pPr>
      <w:pStyle w:val="Header"/>
      <w:rPr>
        <w:rFonts w:ascii="Times New Roman" w:hAnsi="Times New Roman"/>
      </w:rPr>
    </w:pPr>
  </w:p>
  <w:p w14:paraId="7A978391" w14:textId="77777777" w:rsidR="00855B92" w:rsidRDefault="00855B92" w:rsidP="00855B92">
    <w:pPr>
      <w:pStyle w:val="Header"/>
      <w:rPr>
        <w:rFonts w:ascii="Times New Roman" w:hAnsi="Times New Roman"/>
      </w:rPr>
    </w:pPr>
  </w:p>
  <w:p w14:paraId="219F3B54" w14:textId="77777777" w:rsidR="00855B92" w:rsidRDefault="00855B92" w:rsidP="00855B92">
    <w:pPr>
      <w:pStyle w:val="Header"/>
      <w:rPr>
        <w:rFonts w:ascii="Times New Roman" w:hAnsi="Times New Roman"/>
      </w:rPr>
    </w:pPr>
  </w:p>
  <w:p w14:paraId="74B3BD7C" w14:textId="77777777" w:rsidR="00855B92" w:rsidRDefault="00855B92" w:rsidP="00855B92">
    <w:pPr>
      <w:pStyle w:val="Header"/>
      <w:rPr>
        <w:rFonts w:ascii="Times New Roman" w:hAnsi="Times New Roman"/>
      </w:rPr>
    </w:pPr>
  </w:p>
  <w:p w14:paraId="2E793230" w14:textId="77777777" w:rsidR="00855B92" w:rsidRDefault="00855B92" w:rsidP="00855B92">
    <w:pPr>
      <w:pStyle w:val="Header"/>
      <w:rPr>
        <w:rFonts w:ascii="Times New Roman" w:hAnsi="Times New Roman"/>
      </w:rPr>
    </w:pPr>
  </w:p>
  <w:p w14:paraId="7A8723E4" w14:textId="77777777" w:rsidR="00855B92" w:rsidRDefault="00855B92" w:rsidP="00855B92">
    <w:pPr>
      <w:pStyle w:val="Header"/>
      <w:rPr>
        <w:rFonts w:ascii="Times New Roman" w:hAnsi="Times New Roman"/>
      </w:rPr>
    </w:pPr>
  </w:p>
  <w:p w14:paraId="2D78D478" w14:textId="77777777" w:rsidR="00855B92" w:rsidRPr="00815277" w:rsidRDefault="00C85AFC" w:rsidP="00855B92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3ED669D9" wp14:editId="42A77715">
          <wp:simplePos x="0" y="0"/>
          <wp:positionH relativeFrom="page">
            <wp:posOffset>1219200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8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D9044E2" wp14:editId="12AF6D4B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4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4D1455" w14:textId="77777777" w:rsidR="00855B92" w:rsidRDefault="00C85AFC" w:rsidP="00855B92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5E3C4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5E3C4E">
                                <w:rPr>
                                  <w:rFonts w:ascii="Times New Roman" w:eastAsia="Times New Roman" w:hAnsi="Times New Roman"/>
                                  <w:color w:val="231F20"/>
                                  <w:sz w:val="17"/>
                                  <w:szCs w:val="17"/>
                                </w:rPr>
                                <w:t>Rīga</w:t>
                              </w:r>
                            </w:smartTag>
                          </w:smartTag>
                          <w:r w:rsidRPr="005E3C4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LV-1010, tālr. 6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7388624</w:t>
                          </w:r>
                          <w:r w:rsidRPr="005E3C4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fakss 67388634, e-pasts p</w:t>
                          </w:r>
                          <w:r w:rsidR="00716AC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asts</w:t>
                          </w:r>
                          <w:r w:rsidRPr="005E3C4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@ptac.gov.lv, www.ptac.gov.lv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-text-anchor:top;visibility:visible;z-index:-251654144" filled="f" stroked="f">
              <v:textbox inset="0,0,0,0">
                <w:txbxContent>
                  <w:p w:rsidR="00855B92" w:rsidP="00855B92" w14:paraId="7DABACA0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5E3C4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5E3C4E">
                          <w:rPr>
                            <w:rFonts w:ascii="Times New Roman" w:eastAsia="Times New Roman" w:hAnsi="Times New Roman"/>
                            <w:color w:val="231F20"/>
                            <w:sz w:val="17"/>
                            <w:szCs w:val="17"/>
                          </w:rPr>
                          <w:t>Rīga</w:t>
                        </w:r>
                      </w:smartTag>
                    </w:smartTag>
                    <w:r w:rsidRPr="005E3C4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LV-1010, tālr. 6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7388624</w:t>
                    </w:r>
                    <w:r w:rsidRPr="005E3C4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fakss 67388634, e-pasts p</w:t>
                    </w:r>
                    <w:r w:rsidR="00716AC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asts</w:t>
                    </w:r>
                    <w:r w:rsidRPr="005E3C4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@ptac.gov.lv, www.ptac.gov.lv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F008BE4" wp14:editId="0303AC22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6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7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-text-anchor:top;visibility:visible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14:paraId="0F7BD624" w14:textId="77777777" w:rsidR="00855B92" w:rsidRDefault="00855B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2074FC"/>
    <w:multiLevelType w:val="hybridMultilevel"/>
    <w:tmpl w:val="DDF6D314"/>
    <w:lvl w:ilvl="0" w:tplc="CB507336">
      <w:start w:val="1"/>
      <w:numFmt w:val="bullet"/>
      <w:lvlText w:val=""/>
      <w:lvlJc w:val="left"/>
      <w:pPr>
        <w:ind w:left="1560" w:hanging="360"/>
      </w:pPr>
      <w:rPr>
        <w:rFonts w:ascii="Symbol" w:hAnsi="Symbol" w:hint="default"/>
      </w:rPr>
    </w:lvl>
    <w:lvl w:ilvl="1" w:tplc="721860D6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2" w:tplc="87180D62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C484B3F0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80E69E38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41501DE2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C76C0D4A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356618AE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358C9352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" w15:restartNumberingAfterBreak="1">
    <w:nsid w:val="708166AB"/>
    <w:multiLevelType w:val="hybridMultilevel"/>
    <w:tmpl w:val="FB78D402"/>
    <w:lvl w:ilvl="0" w:tplc="68969BF2">
      <w:start w:val="1"/>
      <w:numFmt w:val="decimal"/>
      <w:lvlText w:val="%1."/>
      <w:lvlJc w:val="left"/>
      <w:pPr>
        <w:ind w:left="720" w:hanging="360"/>
      </w:pPr>
    </w:lvl>
    <w:lvl w:ilvl="1" w:tplc="148E1484" w:tentative="1">
      <w:start w:val="1"/>
      <w:numFmt w:val="lowerLetter"/>
      <w:lvlText w:val="%2."/>
      <w:lvlJc w:val="left"/>
      <w:pPr>
        <w:ind w:left="1440" w:hanging="360"/>
      </w:pPr>
    </w:lvl>
    <w:lvl w:ilvl="2" w:tplc="582AB1FA" w:tentative="1">
      <w:start w:val="1"/>
      <w:numFmt w:val="lowerRoman"/>
      <w:lvlText w:val="%3."/>
      <w:lvlJc w:val="right"/>
      <w:pPr>
        <w:ind w:left="2160" w:hanging="180"/>
      </w:pPr>
    </w:lvl>
    <w:lvl w:ilvl="3" w:tplc="6EB6C47E" w:tentative="1">
      <w:start w:val="1"/>
      <w:numFmt w:val="decimal"/>
      <w:lvlText w:val="%4."/>
      <w:lvlJc w:val="left"/>
      <w:pPr>
        <w:ind w:left="2880" w:hanging="360"/>
      </w:pPr>
    </w:lvl>
    <w:lvl w:ilvl="4" w:tplc="B40EFB1C" w:tentative="1">
      <w:start w:val="1"/>
      <w:numFmt w:val="lowerLetter"/>
      <w:lvlText w:val="%5."/>
      <w:lvlJc w:val="left"/>
      <w:pPr>
        <w:ind w:left="3600" w:hanging="360"/>
      </w:pPr>
    </w:lvl>
    <w:lvl w:ilvl="5" w:tplc="EB744A30" w:tentative="1">
      <w:start w:val="1"/>
      <w:numFmt w:val="lowerRoman"/>
      <w:lvlText w:val="%6."/>
      <w:lvlJc w:val="right"/>
      <w:pPr>
        <w:ind w:left="4320" w:hanging="180"/>
      </w:pPr>
    </w:lvl>
    <w:lvl w:ilvl="6" w:tplc="A1944004" w:tentative="1">
      <w:start w:val="1"/>
      <w:numFmt w:val="decimal"/>
      <w:lvlText w:val="%7."/>
      <w:lvlJc w:val="left"/>
      <w:pPr>
        <w:ind w:left="5040" w:hanging="360"/>
      </w:pPr>
    </w:lvl>
    <w:lvl w:ilvl="7" w:tplc="6E008968" w:tentative="1">
      <w:start w:val="1"/>
      <w:numFmt w:val="lowerLetter"/>
      <w:lvlText w:val="%8."/>
      <w:lvlJc w:val="left"/>
      <w:pPr>
        <w:ind w:left="5760" w:hanging="360"/>
      </w:pPr>
    </w:lvl>
    <w:lvl w:ilvl="8" w:tplc="C714DCE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465212">
    <w:abstractNumId w:val="1"/>
  </w:num>
  <w:num w:numId="2" w16cid:durableId="305672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E6C"/>
    <w:rsid w:val="00073E25"/>
    <w:rsid w:val="001038D0"/>
    <w:rsid w:val="001721F4"/>
    <w:rsid w:val="001E077B"/>
    <w:rsid w:val="00212A86"/>
    <w:rsid w:val="0024516C"/>
    <w:rsid w:val="00264574"/>
    <w:rsid w:val="002660AB"/>
    <w:rsid w:val="002709B0"/>
    <w:rsid w:val="00274D0E"/>
    <w:rsid w:val="002A1524"/>
    <w:rsid w:val="002B1152"/>
    <w:rsid w:val="002C3832"/>
    <w:rsid w:val="002E1A6C"/>
    <w:rsid w:val="002F53E0"/>
    <w:rsid w:val="00302F72"/>
    <w:rsid w:val="003142AE"/>
    <w:rsid w:val="003609F9"/>
    <w:rsid w:val="003B5C79"/>
    <w:rsid w:val="003E562D"/>
    <w:rsid w:val="00416868"/>
    <w:rsid w:val="004516D6"/>
    <w:rsid w:val="005134DE"/>
    <w:rsid w:val="00523285"/>
    <w:rsid w:val="00557ADA"/>
    <w:rsid w:val="005804E6"/>
    <w:rsid w:val="00586318"/>
    <w:rsid w:val="005E3C4E"/>
    <w:rsid w:val="00644E71"/>
    <w:rsid w:val="00661899"/>
    <w:rsid w:val="006A2CE5"/>
    <w:rsid w:val="00703579"/>
    <w:rsid w:val="00716AC9"/>
    <w:rsid w:val="007172E7"/>
    <w:rsid w:val="00763C1E"/>
    <w:rsid w:val="00794877"/>
    <w:rsid w:val="007F07D8"/>
    <w:rsid w:val="00815277"/>
    <w:rsid w:val="008270E1"/>
    <w:rsid w:val="00855B92"/>
    <w:rsid w:val="00862AD4"/>
    <w:rsid w:val="008F2C67"/>
    <w:rsid w:val="008F34F1"/>
    <w:rsid w:val="00931AF2"/>
    <w:rsid w:val="00942BB5"/>
    <w:rsid w:val="00946E88"/>
    <w:rsid w:val="00981F68"/>
    <w:rsid w:val="00A23DA9"/>
    <w:rsid w:val="00A30728"/>
    <w:rsid w:val="00A6217C"/>
    <w:rsid w:val="00AF6E6C"/>
    <w:rsid w:val="00B454AF"/>
    <w:rsid w:val="00B60AF2"/>
    <w:rsid w:val="00BD0B32"/>
    <w:rsid w:val="00BD48FB"/>
    <w:rsid w:val="00BF5CA3"/>
    <w:rsid w:val="00C80C2D"/>
    <w:rsid w:val="00C85AFC"/>
    <w:rsid w:val="00C92605"/>
    <w:rsid w:val="00CB2D18"/>
    <w:rsid w:val="00D12523"/>
    <w:rsid w:val="00D132AB"/>
    <w:rsid w:val="00D917AB"/>
    <w:rsid w:val="00E034DE"/>
    <w:rsid w:val="00E132C7"/>
    <w:rsid w:val="00E40B07"/>
    <w:rsid w:val="00E53DF3"/>
    <w:rsid w:val="00E95B3B"/>
    <w:rsid w:val="00EC77AB"/>
    <w:rsid w:val="00F84789"/>
    <w:rsid w:val="00F90193"/>
    <w:rsid w:val="00F9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;"/>
  <w14:docId w14:val="2A638859"/>
  <w15:chartTrackingRefBased/>
  <w15:docId w15:val="{CB176D2D-581E-41D4-83FC-2A4825403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E6C"/>
    <w:pPr>
      <w:widowControl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6E6C"/>
    <w:pPr>
      <w:widowControl/>
      <w:tabs>
        <w:tab w:val="center" w:pos="4153"/>
        <w:tab w:val="right" w:pos="830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F6E6C"/>
  </w:style>
  <w:style w:type="paragraph" w:styleId="Footer">
    <w:name w:val="footer"/>
    <w:basedOn w:val="Normal"/>
    <w:link w:val="FooterChar"/>
    <w:uiPriority w:val="99"/>
    <w:unhideWhenUsed/>
    <w:rsid w:val="00AF6E6C"/>
    <w:pPr>
      <w:widowControl/>
      <w:tabs>
        <w:tab w:val="center" w:pos="4153"/>
        <w:tab w:val="right" w:pos="830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F6E6C"/>
  </w:style>
  <w:style w:type="paragraph" w:styleId="FootnoteText">
    <w:name w:val="footnote text"/>
    <w:basedOn w:val="Normal"/>
    <w:link w:val="FootnoteTextChar"/>
    <w:uiPriority w:val="99"/>
    <w:semiHidden/>
    <w:unhideWhenUsed/>
    <w:rsid w:val="00302F72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2F72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02F72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46E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6E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6E88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6E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6E88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46E8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A621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rds.Uzvards@ptac.gov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ards.Uzvards@ptac.gov.l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C1DF7-0D6C-4B51-B71A-F86063023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6124</Words>
  <Characters>3492</Characters>
  <Application>Microsoft Office Word</Application>
  <DocSecurity>0</DocSecurity>
  <Lines>29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Aija Parhimuka</dc:creator>
  <cp:lastModifiedBy>Ērika Ozdemira</cp:lastModifiedBy>
  <cp:revision>2</cp:revision>
  <cp:lastPrinted>2019-09-11T09:06:00Z</cp:lastPrinted>
  <dcterms:created xsi:type="dcterms:W3CDTF">2024-08-26T06:26:00Z</dcterms:created>
  <dcterms:modified xsi:type="dcterms:W3CDTF">2024-08-26T06:26:00Z</dcterms:modified>
</cp:coreProperties>
</file>