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pārskats_24-TA_207)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novērtē iekļauto papildu informāciju par prasmju profilēšanas rīka centralizētas izmantošanas diskusijas ierosināšanu. Ņemot vērā prasmju novērtējuma būtisko ietekmi uz katra mācību dalībnieka turpmāko mācību ceļu, lūdzam precizēt anotāciju paredzot nevis diskusiju, bet priekšlikumu iesniegšanu Cilvēkkapitāla attīstības padomē konkrēto profilēšanas risinājumu attīstībai un nosakot termiņu šī priekšlikuma iesniegšanai, tādējādi veicinot izstrādāto digitālo rīku ilgtspējīgu pielietojumu. Ņemot vērā MK š.g. 7.maija sēdē izskatīto jautājumu par pieaugušo izglītības un cilvēkkapitāla attīstības pārvaldības jautājumu izvērtēšanu, aicinām priekšlikumu CAP iesniegt līdz 2024.gada 30.jūnijam, kas paredzēts, lai vienotos par vienotu pieeju un rīcības plānu cilvēkkapitāla vienotas pārvaldības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13.05.2024.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13.05.2024.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Atzinumi_24-TA-207.docx</dc:title>
</cp:coreProperties>
</file>

<file path=docProps/custom.xml><?xml version="1.0" encoding="utf-8"?>
<Properties xmlns="http://schemas.openxmlformats.org/officeDocument/2006/custom-properties" xmlns:vt="http://schemas.openxmlformats.org/officeDocument/2006/docPropsVTypes"/>
</file>