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Programmas "Iespējkapitāla ieguldījumi", tostarp Eiropas Savienības kohēzijas politikas programmas 2021.-2027.gadam 1.2.3. specifiskā atbalsta mērķa " Veicināt ilgtspējīgu izaugsmi, konkurētspēju un darba vietu radīšanu MVU, tostarp ar produktīvām investīcijām " 1.2.3.2. pasākuma "Iespējkapitāla ieguldījumi"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6.punktā programmai kopā norādītais pieejamais maksimālais publiskais finansējums 93 000 000 euro apmērā neveidojas no apakšpunktos uzskaitītajām summām.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ir norādīts, ka finansējums būs nepieciešams sākot ar 2023.gadu, savukārt tabulā izmaiņas ir atspoguļotas sākot ar 2024.gadu, attiecīgi lūdzam novērst minētās nesakritības. Turklāt vēršam uzmanību, ka 6.punkta pirmajā rindkopā minētajā finansējuma apmērā 91 786 124 euro ir iekļauts arī valsts budžeta finansējums 13 767 919 euro, līdz ar to nav korekti norādīt, ka tas ir tikai ERAF finansējums, attiecīgi lūdzam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"Iespējkapitāla ieguldījumi", tostarp Eiropas Savienības kohēzijas politikas programmas 2021.-2027.gadam 1.2.3. specifiskā atbalsta mērķa " Veicināt ilgtspējīgu izaugsmi, konkurētspēju un darba vietu radīšanu MVU, tostarp ar produktīvām investīcijām " 1.2.3.2. pasākuma "Iespējkapitāla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vienkāršot MK noteikumu nosaukumu, piemēram, </w:t>
            </w:r>
            <w:r w:rsidR="00000000" w:rsidRPr="00000000" w:rsidDel="00000000">
              <w:rPr>
                <w:i w:val="1"/>
                <w:rtl w:val="0"/>
              </w:rPr>
              <w:t xml:space="preserve">"Programmas "Iespējkapitāla ieguldījumi" īstenošanas noteikumi" vai "Noteikumi par iespējkapitāla ieguldījumiem"</w:t>
            </w:r>
            <w:r w:rsidR="00000000" w:rsidRPr="00000000" w:rsidDel="00000000">
              <w:rPr>
                <w:rtl w:val="0"/>
              </w:rPr>
              <w:t xml:space="preserve">, ES fondu pasākuma iekļaušanu norādot MK noteikumu tekstā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analogs princips tiek izmantots pārējo 2021. - 2027.gada plānošanas perioda finanšu instrumentu ieviešanas MK noteikumu nosaukumos, piemēram, </w:t>
            </w:r>
            <w:r w:rsidR="00000000" w:rsidRPr="00000000" w:rsidDel="00000000">
              <w:rPr>
                <w:i w:val="1"/>
                <w:rtl w:val="0"/>
              </w:rPr>
              <w:t xml:space="preserve">Noteikumi par mikroaizdevumiem, starta un izaugsmes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ir nekotēti atbilstoši Komisijas regulas Nr. 651/2014 2. panta 76. punktā minētajai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gala saņēmējiem uz atbalsta piešķiršanas brīdi visu atbalsta programmas fondu ietvaros ir obligāti jāatbilst Komisijas regulas Nr.651/2014 21.panta 3.punkta a) un b) apakšpunkta prasībām, kā arī turpmāko ieguldījumu gadījumā, arī Komisijas regulas Nr.651/2014 21.panta 3.punkta c) apakšpunkta un 4. punkta prasībām (prasības attiecas uz sākotnējo ieguldījumu), līdz ar ko sasaiste ar Komisijas regulas Nr.651/2014 21.panta 3.punkta apakšpunktiem no noteikumu projekta 2.1.2.apakšpunkta nav dzēšama. Aicinām papildināt noteikumu projekta 2.1.2.apakšpunkta redakciju, ietverot atsauci uz Komisijas regulas Nr.651/2014 21.panta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Programmu īsteno un atbalstu sniedz ar Iespējkapitāla fondu starpniecību. Programmas īstenošanai kopumā plānotais publiskais finansējums 93 000 000 euro,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1.2.3.2.pasākumam “Iespējkapitāla ieguldījumi” kā nacionālo līdzfinansējumu plānotajam ES fondu finansējumam valsts budžeta vietā noteikt piesaistīto privāto finansējumu, attiecīgi to atspoguļojot MK noteikumu projekta 5.punktā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Programmas īstenošanai no 2030.gada 1.janvāra pieejamas Eiropas Savienības struktūrfondu un Kohēzijas fonda 2014.–2020. gada plānošanas perioda darbības programmas "Izaugsme un nodarbinātība" 3.1.2. specifiskā atbalsta mērķa "Palielināt straujas izaugsmes komersantu skaitu" 3.1.2.1. pasākuma "Riska kapitāls" atmaksas līdz 11 500 000 euro apmērā. Ekonomikas ministrija līdz 2027.gada 31.decembrim informē Finanšu ministriju, ja šajā apakšpunktā minētā atmaksu finansējuma vietā pilnībā vai daļēji tiek ierosināts izmantot nākamā Eiropas Savienības fondu 2028.-2034.gada plānošanas perioda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5.2. apakšpunkta pēdējo teikumu, ņemot vērā, ka minētais neatbilst noteikumu projekta tvērumam un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Finanšu starpnieks nepiesaista finansējumu pārvaldītajam Iespējkapitāla fondam atbilstoši šo noteikumu </w:t>
            </w:r>
            <w:r w:rsidR="00000000" w:rsidRPr="00000000" w:rsidDel="00000000">
              <w:rPr>
                <w:rtl w:val="0"/>
              </w:rPr>
              <w:t xml:space="preserve">6.</w:t>
            </w:r>
            <w:r w:rsidR="00000000" w:rsidRPr="00000000" w:rsidDel="00000000">
              <w:rPr>
                <w:rtl w:val="0"/>
              </w:rPr>
              <w:t xml:space="preserve"> punktā minētajam, sabiedrībai Altum ir tiesības atlikušo Finanšu starpniekam paredzēto finansējumu novirzīt cita Finanšu starpnieka pārvaldītajam Iespējkapitāla fondam vai, saskaņojot ar Ekonomikas ministriju, - citam  Ministru kabineta noteikumos "Eiropas Savienības kohēzijas politikas programmas 2021.-2027. gadam finanšu instrumentu kopīgie īstenošanas noteikumi” minētajam pasākumam, atbilstoši normatīvajos aktos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saskaņojums par finansējuma novirzīšanu tiek saņemts no Ekonomikas ministrijas kā Eiropas Savienības fondu atbildīgās iestādes vai nozares ministrijas. Nepieciešamības gadījumā lūdzam precizēt noteikumu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un to piedāvātos finanšu pakalpojumus atlasa atklātā, pārredzamā un nediskriminējošā atlases procedūrā, ievērojot Komisijas regulas Nr. 651/2014 21. panta 14. punktā iekļautos nosacījumus, piemērojot Publisko iepirkumu likuma 3.panta pirmās daļas 7.punktā minēto izņēmumu, un komandītsabiedrības līgumus slēdz saskaņā ar Ministru kabineta noteikumiem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 3.panta pirmās daļas 7.punkts ir attiecināms uz tādiem </w:t>
            </w:r>
            <w:r w:rsidR="00000000" w:rsidRPr="00000000" w:rsidDel="00000000">
              <w:rPr>
                <w:u w:val="single"/>
                <w:rtl w:val="0"/>
              </w:rPr>
              <w:t xml:space="preserve">finanšu pakalpojumiem, kas saistīti ar vērtspapīru vai citu finanšu instrumentu emisiju, pirkšanu, pārdošanu vai nodošanu</w:t>
            </w:r>
            <w:r w:rsidR="00000000" w:rsidRPr="00000000" w:rsidDel="00000000">
              <w:rPr>
                <w:rtl w:val="0"/>
              </w:rPr>
              <w:t xml:space="preserve">. Eiropas Parlamenta un Padomes 2014. gada 26. februāra direktīvas Nr.2014/24/ES </w:t>
            </w:r>
            <w:r w:rsidR="00000000" w:rsidRPr="00000000" w:rsidDel="00000000">
              <w:rPr>
                <w:i w:val="1"/>
                <w:rtl w:val="0"/>
              </w:rPr>
              <w:t xml:space="preserve">par publisko iepirkumu un ar ko atceļ Direktīvu 2004/18/EK</w:t>
            </w:r>
            <w:r w:rsidR="00000000" w:rsidRPr="00000000" w:rsidDel="00000000">
              <w:rPr>
                <w:rtl w:val="0"/>
              </w:rPr>
              <w:t xml:space="preserve"> 10.panta pirmās daļas e) apakšpunktā, kurš attiecīgi ir transponēts minētajā PIL normā, ir sniegta atsauce uz Eiropas Parlamenta un Padomes 2004. gada 21. aprīļa Direktīvu Nr.2004/39/EK, </w:t>
            </w:r>
            <w:r w:rsidR="00000000" w:rsidRPr="00000000" w:rsidDel="00000000">
              <w:rPr>
                <w:i w:val="1"/>
                <w:rtl w:val="0"/>
              </w:rPr>
              <w:t xml:space="preserve">kas attiecas uz finanšu instrumentu tirgiem un ar ko groza Padomes Direktīvas 85/611/EEK un 93/6/EEK un Eiropas Parlamenta un Padomes Direktīvu 2000/12/EK un atceļ Padomes Direktīvu 93/22/EEK </w:t>
            </w:r>
            <w:r w:rsidR="00000000" w:rsidRPr="00000000" w:rsidDel="00000000">
              <w:rPr>
                <w:rtl w:val="0"/>
              </w:rPr>
              <w:t xml:space="preserve">(Latvijas tiesību aktos pārņemta Finanšu instrumentu tirgus likumā), no kā izriet secinājums, ka jēdziens “finanšu instrumenti” minētās PIL normas kontekstā ir attiecināms uz finanšu instrumentu tirgiem (biržu), nevis uz Eiropas Savienības fondu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jau vairākkārt uzturētos iebildumus saistībā ar Publisko iepirkumu likuma (turpmāk – PIL) 3.panta pirmās daļas 7.punkta piemērošanu iespējkapitāla atlases ietvaros, attiecīgā jautājuma izvērtēšanai FM konsultēsies ar Eiropas Komisijas dienestiem  par iespēju piemērot minēto PIL normu  iespējkapitāla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Finanšu ministrijas jau iepriekš sniegto argumentāciju šajā jautājumā, lūdzam no noteikumu projekta 10.punkta svītrot atsauci uz PIL 3.panta pirmās daļas 7.punkta izņēmuma piemērošanu un paredzēt, ka attiecīgajai atlasei tiks piemērotas PIL prasības. Attiecīgus precizējumus nepieciešams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Jaunuzņēmumu iespējkapitāla fonda Atbalstu pirmssēklas naudas un sēklasnaudas Atbalsta veidā var saņemt Gala saņēmējs, kas atbilst Komisijas regulas Nr. 651/2014 21. panta 3.punkta a) apakšpunktā un b) apakšpunkta i) punktā noteiktajām prasībām vai Komisijas regulas Nr. 651/2014 21. panta 3.punkta c) apakšpunktā un 4.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gala saņēmējam ir jāatbilst gan Komisijas regulas Nr.651/2014 21.panta 3.punkta a) un b) apakšpunktu prasībām, gan arī Komisijas regulas Nr.651/2014 21.panta 3.punkta c)apakšpunkta un 4.punkta prasībām, aicinām noteikumu projekta 24.punkta redakcijā aizstāt vārdu “vai” ar vārdu “un”. Vienlaikus, vēršam uzmanību, ka visas komercdarbības atbalsta prasības, kas ietvertas noteikumu projektā, ir attiecināmas nevis tikai uz konkrētu uzņēmumu (gala saņēmēju), bet uz gala saņēmēju saistīto uzņēmumu grupas līmenī, līdz ar to, aicinām izvērtēt, vai noteikumu projekts nebūtu jāpapildina ar papildus punktu, lai no noteikumu projekta to var nepārprotami nolasīt.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sēklasnaudas Atbalsta veidā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un vismaz 50 % apmērā no fonda kopējā sēklasnaudas Atbalsta apjoma Gala saņēmējiem, kuru saimnieciskās darbības vieta ir Eiropas Savienība.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25.2.apakšpunkta nosacījumu, tas nav skaidri noteikts, saskaņā ar anotāciju un iepriekš pārrunāto plānots, ka atbalstam jābūt Latvijas ietvaros vismaz 50% apmērā, pārējais var būt ES ietvaros. Pēc šī punkta redakcijas tiek uzlikts pienākums investēt vismaz 50% ES ietvaros, t.i., iespējamā kārtā ārpus Latvijas.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w:t>
            </w:r>
            <w:r w:rsidR="00000000" w:rsidRPr="00000000" w:rsidDel="00000000">
              <w:rPr>
                <w:i w:val="1"/>
                <w:rtl w:val="0"/>
              </w:rPr>
              <w:t xml:space="preserve">Atbalstītie jaunie uzņēmumi</w:t>
            </w:r>
            <w:r w:rsidR="00000000" w:rsidRPr="00000000" w:rsidDel="00000000">
              <w:rPr>
                <w:rtl w:val="0"/>
              </w:rPr>
              <w:t xml:space="preserve"> atbilstoši Ministru kabineta noteikumu projekta "Eiropas Savienības kohēzijas politikas programmas 2021.-2027. gadam finanšu instrumentu kopīgie īstenošanas noteikumi” 11.punktā noteiktajam, t.i., 1.2.3.2. pasākumā “Iespējkapitāla ieguldījumi” – 45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precizēt pasākumā paredzēto iznākuma rādītāju nosaukumus (atbalstītie uzņēmumi, t.sk.  atbalstītie jaunie uzņēmumi), norādot vienādu terminoloģiju atbilstoši noteikumu projektam </w:t>
            </w:r>
            <w:r w:rsidR="00000000" w:rsidRPr="00000000" w:rsidDel="00000000">
              <w:rPr>
                <w:i w:val="1"/>
                <w:rtl w:val="0"/>
              </w:rPr>
              <w:t xml:space="preserve">"Eiropas Savienības kohēzijas politikas programmas 2021. – 2027. gadam finanšu instrumentu kopīgie īstenošanas noteikumi"</w:t>
            </w:r>
            <w:r w:rsidR="00000000" w:rsidRPr="00000000" w:rsidDel="00000000">
              <w:rPr>
                <w:rtl w:val="0"/>
              </w:rPr>
              <w:t xml:space="preserve">, 1.2.3. SAM rādītāju metodoloģijas aprakstam un Eiropas Savienības kohēzijas politikas programmai 2021.–2027.gadam. Vēršam uzmanību, ka KPVIS rādītāju nosaukumi tiek atspoguļoti tādā redakcijā, kā ir norādīts Eiropas Savienības kohēzijas politikas programmā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uzskaitītos noteikumu projekta apakšpunktus, kas ietver normas, kas pārņemtas ar Komisijas regulas Nr.651/2014 grozījumiem, un kas stāsies spēkā pēc tam, kad stāsies spēkā grozījumi Komisijas regulā Nr.651/2014, ņemot vērā, ka ir uzskaitīti noteikumu projekta 22., 41., 46.punkti un 2.1.4., 2.4.2. apakšpunkti, kuru nosacījumi neizriet no Komisijas regulas Nr.651/2014 2023.gada 9.marta grozījumiem. Lūdzam izvērtēt, vai anotācijā ietvertais uzskaitījums nebūtu papildināms ar vēl kādu noteikumu projekta punktu, kas ietver nosacījumu, kas izriet no Komisijas regulas Nr.651/2014 2023.gada 9.marta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anotācijā ietverto skaidrojumu par nosacījumiem, kas izriet no noteikumu projekta 36.punkta, veicot tehnisku precizējumu, lai būtu skaidrs, ka attiecīgie nosacījumi, kas uzskaitīti anotācijas ietvertajos a)-c) apakšpunktos, izriet no Komisijas regulas Nr.651/2014 21.panta 12.punkta un attiecināmi uz Komisijas regulas Nr.651/2014 21.panta 12.punkta skaidrojumā minētajiem Komisijas regulas Nr.651/2014 21.panta 3.punkta nosacījumiem. Aicinām tehniski pārskatīt visu anotāciju, konkrēti norādot, no kura Komisijas regulas Nr.651/2014 panta izriet anotācijā minētie punkti, jo nav korekti atsaukties uz Komisijas regulas Nr.651/2014 punktiem, nenorādot pantu, kurā attiecīgie punkti ir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sniegto skaidrojumu attiecībā uz programmas rādītāju novērtējuma projektu, ka “3.sadaļa ir no Altum puses skatoties. bet 6.sadaļa ir skatoties uz kopējo finansējumu 93milj.”, lūdzam precizēt programmas rādītāju novērtējuma projektu, atspoguļojot tajā sniegto informāciju no viena skatpunkta, proti, no Altum vai programmas viedokļa, lai nodrošinātu datu izsekojamību. Vienlaikus lūdzam piemērot vienotu pieeju visos programmu rādītāju novērtējumos.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22-TA-2520</w:t>
    </w:r>
    <w:r>
      <w:br/>
    </w:r>
    <w:r w:rsidR="00000000" w:rsidRPr="00000000" w:rsidDel="00000000">
      <w:rPr>
        <w:rtl w:val="0"/>
      </w:rPr>
      <w:t xml:space="preserve">Izdrukāts 16.06.2023.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22-TA-2520</w:t>
    </w:r>
    <w:r>
      <w:br/>
    </w:r>
    <w:r w:rsidR="00000000" w:rsidRPr="00000000" w:rsidDel="00000000">
      <w:rPr>
        <w:rtl w:val="0"/>
      </w:rPr>
      <w:t xml:space="preserve">Izdrukāts 16.06.2023.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Atzinumi_22-TA-2520.docx</dc:title>
</cp:coreProperties>
</file>

<file path=docProps/custom.xml><?xml version="1.0" encoding="utf-8"?>
<Properties xmlns="http://schemas.openxmlformats.org/officeDocument/2006/custom-properties" xmlns:vt="http://schemas.openxmlformats.org/officeDocument/2006/docPropsVTypes"/>
</file>