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 Vēršam uzmanību, ka, piemēram, Rīgas valstspilsētas  pašvaldības līdzšinējā pieredze un prakse liecina, ka pašvaldības dažādu nozaru struktūrvienības, piemēram, kā SIA “Rīgas meži”, AS “Rīgas Siltums” vai SIA “Getliņi”, spēj sagatavot kampaņas atbilstošajās sfērās, tajā skaitā aptverot plašu auditoriju.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ieskatā uzņēmumu iesaiste nodrošina ne tikai kvalitatīvu satura radīšanu, bet arī atbilstošu kapacitāti un zināšanas informācijas kampaņu veidošanai, kuras kapitālsabiedrības nereti jau īsteno. Lokālajā līmenī svarīga būtu iespēja sabiedrības informēšanas kampaņās startēt pašvaldībai (kā virsvadītājai) kopā ar kapitālsabiedrībām, kas pārsvarā katra atbild par savu atbilstošo 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29.12.2023.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29.12.2023.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