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"Cilvēkkapitāla attīstības stratēģija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darbaspēka nodokļu jautājumi tiek skatīti Nodokļu politikas pilnveidošanas koordinēšanas grupā. Turklāt jebkuras izmaiņas nodokļu politikā ir jāskata kompleksi ar valdības noteiktajām prioritātēm un ir diskutējamas kontekstā ar turpmāko gadu budžeta iespēju un fiskālās ietekmes izvērtējumu, kā arī vērtējamas kopsakarā ar citiem nodokļu atbrīvojumiem un kopējo ekonomisko situāciju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 rīcības plāna projekta "Cilvēkkapitāla attīstības stratēģija 2024.-2027. gadam" sadaļas "Rīcības virzieni un pasākumi" (10.lpp.) svītrot pasākumu: "Darbaspēka nodokļu, pabalstu un minimālās algas sistēmu mijiedarbības izvērtējums un salāgošana īpaši definēto mērķa grupu pārejai uz nodarbinātību, veicinot ātrāku iekļaušanos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informējam, ka Finanšu ministrija neiebilst, ka minētais pasākums ir norādīts rīcības plāna projekta "Cilvēkkapitāla attīstības stratēģija 2024.-2027. gadam" sadaļā "Virzītie priekšlikumi Nodokļu politikas pilnveidošanas koordinēšanas grupā" (26.-27.lpp.).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rīcības plāna projekta "Cilvēkkapitāla attīstības stratēģija 2024.-2027. gadam" sadaļā "Virzītie priekšlikumi Nodokļu politikas pilnveidošanas koordinēšanas grupā" (26.-27.lpp.) ir ietverts pasākums: "Nodokļu atvieglojumi apmaksātām brīvdienām mācībām, kuras saistītas ar konkrētā darba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minētais pasākums nav saprotams, proti, nav saprotams minētā pasākuma mērķis un būtība. Vēršam uzmanību, ka saskaņā ar Darba likuma 157. panta pirmo un otro daļu darbiniekam, kurš, nepārtraucot darbu, mācās jebkura veida izglītības iestādē, saskaņā ar darba koplīgumu vai darba līgumu piešķir mācību atvaļinājumu </w:t>
            </w:r>
            <w:r w:rsidR="00000000" w:rsidRPr="00000000" w:rsidDel="00000000">
              <w:rPr>
                <w:u w:val="single"/>
                <w:rtl w:val="0"/>
              </w:rPr>
              <w:t xml:space="preserve">ar darba algas saglabāšanu vai bez tās</w:t>
            </w:r>
            <w:r w:rsidR="00000000" w:rsidRPr="00000000" w:rsidDel="00000000">
              <w:rPr>
                <w:rtl w:val="0"/>
              </w:rPr>
              <w:t xml:space="preserve">. Ja darbiniekam noteikta akorda alga, mācību atvaļinājumu piešķir, izmaksājot vidējo izpeļņu vai neizmaksājot to. Darbiniekam valsts pārbaudījuma kārtošanai vai diplomdarba izstrādāšanai un aizstāvēšanai piešķir 20 darba dienas ilgu mācību atvaļinājumu ar darba algas saglabāšanu vai bez tās. Ja darbiniekam ir noteikta akorda alga, mācību atvaļinājumu piešķir, izmaksājot vidējo izpeļņu vai neizmaksājot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atkārtoti lūdzam no rīcības plāna projekta "Cilvēkkapitāla attīstības stratēģija 2024.-2027. gadam" svītrot pasākumu: "Nodokļu atvieglojumi apmaksātām brīvdienām mācībām, kuras saistītas ar konkrētā darba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Matveja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sadaļas “3. KVALIFICĒTU DARBINIEKU PIESAISTE” pēdējo rindkopu ar zemsvītras atsauci norādot, no kura Eiropas Savienības kohēzijas politikas programmas 2021.–2027. gadam ESF+ pasākuma un kāda apjomā tiks finansēti kultūrorientācijas, pilsoniskās iesaistes un diskriminācijas mazināšanas pasākumi.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2.2.2.3.darbību “Ilgtermiņa sociālās aprūpes pakalpojumu attīstīšana: sociālās aprūpes pakalpojumu attīstīšana personu ar aprūpes pienākumiem iekļaušanai darba tirgū” un 4.2.2.3.darbību "Kvalitātes uzraudzības sistēmas attīstība pieaugušo izglītībā" ar zemsvītras atsauci norādot, no kura Atveseļošanas un noturības mehānisma investīcijas vai Eiropas Savienības kohēzijas politikas programmas 2021.–2027. gadam ESF+ pasākuma un kāda apjomā tiks finansēta 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plāna projekta 1.2.2.1.darbību un 7.zemsvītras atsauci ar informāciju, ka Tabakas fabrikas projekta īstenošanai tiek piesaistīti arī Eiropas Savienības kohēzijas politikas programmas 2021. – 2027. gadam 4.2.1.8. pasākuma "Augstskolu studiju vides modernizācija"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Ministru kabineta 23.07.2024. sēdē (protokols Nr.30/51.§) pieņemts lēmums  “Par Valsts izglītības attīstības aģentūras nosaukuma maiņu un Valsts izglītības satura centra un Jaunatnes starptautisko programmu aģentūras likvidāciju" (24-TA-1725). 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ar  2025. gada 1. janvāri likvidēt </w:t>
            </w:r>
            <w:r w:rsidR="00000000" w:rsidRPr="00000000" w:rsidDel="00000000">
              <w:rPr>
                <w:rtl w:val="0"/>
              </w:rPr>
              <w:t xml:space="preserve">Izglītības un zinātnes ministrijas padotībā esošo valsts pārvaldes iestādi  –</w:t>
            </w:r>
            <w:r w:rsidR="00000000" w:rsidRPr="00000000" w:rsidDel="00000000">
              <w:rPr>
                <w:b w:val="1"/>
                <w:rtl w:val="0"/>
              </w:rPr>
              <w:t xml:space="preserve"> Valsts izglītības satura centru</w:t>
            </w:r>
            <w:r w:rsidR="00000000" w:rsidRPr="00000000" w:rsidDel="00000000">
              <w:rPr>
                <w:rtl w:val="0"/>
              </w:rPr>
              <w:t xml:space="preserve"> – un nodot Valsts izglītības satura centra funkcijas un uzdevumus Valsts izglītības attīstības aģentūrai, kā arī pārveidot Valsts izglītības attīstības aģentūru, tai skaitā mainot tās nosaukumu (turpmāk – jaunā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plāna projekts "</w:t>
            </w:r>
            <w:r w:rsidR="00000000" w:rsidRPr="00000000" w:rsidDel="00000000">
              <w:rPr>
                <w:b w:val="1"/>
                <w:rtl w:val="0"/>
              </w:rPr>
              <w:t xml:space="preserve">Cilvēkkapitāla attīstības stratēģija 2024.-2027. gadam</w:t>
            </w:r>
            <w:r w:rsidR="00000000" w:rsidRPr="00000000" w:rsidDel="00000000">
              <w:rPr>
                <w:rtl w:val="0"/>
              </w:rPr>
              <w:t xml:space="preserve">" ir paredzēts laika posmam 2024.-2027. gadam, tad attiecīgi augstāk minētā iestādes likvidācija ietekmē arī šī plāna projektā minēto. Līdz ar to, lūdzam plāna projektā veikt atzīmi/ norādi  “Par Valsts izglītības attīstības aģentūras nosaukuma maiņu un Valsts izglītības satura centra un Jaunatnes starptautisko programmu aģentūras likvidāciju un īpaši šo aspektu ņemt vērā pie plāna projekta 1.2.sadaļas "Plānotās STEM izglītības un prasmju veicināšanas aktivitātes/rezultāti/ termiņi" kolonnā "Atbildība/ Līdzatbildība".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01.08.2024. 15.59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01.08.2024. 15.59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