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nodevas apmēru un samaksas kārtību par valsts valodas prasmes pārbaudi ārzemniekiem un trešās valsts pilsoņiem.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normas formulējums, kāds tika atsūtīts pēc saskaņošanas sanāksmes (</w:t>
            </w:r>
            <w:r w:rsidR="00000000" w:rsidRPr="00000000" w:rsidDel="00000000">
              <w:rPr>
                <w:i w:val="1"/>
                <w:rtl w:val="0"/>
              </w:rPr>
              <w:t xml:space="preserve">noteikumi nosaka valsts nodevas apmēru un samaksas kārtību par valsts valodas prasmes pārbaudi personai, kura nav Latvijas pilsonis, Latvijas nepilsonis vai Eiropas Savienības dalībvalsts, Eiropas Ekonomikas zonas valsts vai Šveices Konfederācijas pilsonis</w:t>
            </w:r>
            <w:r w:rsidR="00000000" w:rsidRPr="00000000" w:rsidDel="00000000">
              <w:rPr>
                <w:rtl w:val="0"/>
              </w:rPr>
              <w:t xml:space="preserve">), aptver tieši tās personu grupas, uz kurām regulējums būs attiecināms. Proti, vai, šādi formulējot, nesanāk tā, ka norma varētu tikt attiecināta ne tikai uz ārzemnieku un trešās valsts pilsoni, kā tas ir paredzēts deleģējošajās normās, bet uz vēl kādām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priekšlikumu lūdzam ņemt vērā arī pie projekta 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12.01.2023.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12.01.2023.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