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"Privātās investīcijas veido vien 17% no IKP, bet mērķim būtu jābūt vismaz 23-25% no IKP. Investīciju dinamiku lielā mērā ietekmē vājā kreditēšana, relatīvi zems pieprasījums, kā arī ekonomiskās un politiskās situācijas nenoteiktība ārējā vidē. Ja privātā sektora kreditēšana Latvijā būtu Igaunijas līmenī, tad ekonomikā papildus nonāktu ~ 2 mljrd. EUR finansējums, kas būtu ļoti būtisks faktors straujākai uzņēmumu attīstībai. Produktivitātes līmeņa paaugstināšanā  uzņēmuma un nozares līmenī būtiska nozīme ir ražošanas modernizācijai, esošo tehnoloģiju pilnveidošanai un jauno tehnoloģiju ieviešanai."</w:t>
            </w:r>
            <w:r w:rsidR="00000000" w:rsidRPr="00000000" w:rsidDel="00000000">
              <w:rPr>
                <w:rtl w:val="0"/>
              </w:rPr>
              <w:t xml:space="preserve"> (1.lpp.)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aicina izvērtēt un pēc iespējas izmantot privātās un publiskās partnerības projektu iespējamību privāto investīciju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būtisku pienesumu tautsaimniecībā var sniegt valsts kapitālsabiedrības, mērķorientējot ieguldījumus uz to eksportspējas palielināšanu, pētniecības un attīstības vai inovatīvu risinājumos un pārskatot iespējas jaunu preču un pakalpojumu piedāvājumam."</w:t>
            </w:r>
            <w:r w:rsidR="00000000" w:rsidRPr="00000000" w:rsidDel="00000000">
              <w:rPr>
                <w:rtl w:val="0"/>
              </w:rPr>
              <w:t xml:space="preserve"> (2.lpp.)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"Sniegt priekšlikumus grozījumiem Valsts pārvaldes iekārtas likumā un Publiskas personas kapitāla daļu un kapitālsabiedrību pārvaldības likumā, lai kapitālsabiedrības ar publiskas personas kapitāla daļu varētu darboties uz vispārīgajiem komercdarbības principiem, ievērojot konkurences neitralitāti, paredzēt obligātu pienākumu mērķu izvirzīšanai, kas veicina inovatīvo un eksportspējīgo preču un pakalpojumu pieaugumu, eksporta tirgu apgūšanai, mazinātu birokrātisko slogu lēmumu pieņemšanas procesā, kā arī atšķirīgas dividendēs izmaksājamās daļas noteikšanai kapitālsabiedrībām, kas apgūst eksporta tirgu un veic ieguldījumus pētniecībā, inovācijās un attīstībā – sasaistot ar kapitālsabiedrības apgrozījumu un attiecīgo mērķu izpildi eksporta apguvei ieguldījumiem inovācijās un pētniecībā atbilstoši stratēģijā noteiktajam."</w:t>
            </w:r>
            <w:r w:rsidR="00000000" w:rsidRPr="00000000" w:rsidDel="00000000">
              <w:rPr>
                <w:rtl w:val="0"/>
              </w:rPr>
              <w:t xml:space="preserve"> (6.lpp.)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norāda, ka publiskas personas līdzdalība kapitālsabiedrībā ir izvērtējama atbilstoši Valsts pārvaldes iekārtas likuma  88.pantam, kas nosaka:</w:t>
            </w:r>
            <w:r w:rsidR="00000000" w:rsidRPr="00000000" w:rsidDel="00000000">
              <w:rPr>
                <w:b w:val="1"/>
                <w:rtl w:val="0"/>
              </w:rPr>
              <w:t xml:space="preserve">(1) Ciktāl likumā nav noteikts citādi, publiska persona savu funkciju efektīvai izpildei var dibināt kapitālsabiedrību vai iegūt līdzdalību esošā kapitālsabiedrībā, ja īstenojas viens no šādiem nosacījumiem:</w:t>
            </w:r>
            <w:r w:rsidR="00000000" w:rsidRPr="00000000" w:rsidDel="00000000">
              <w:rPr>
                <w:b w:val="1"/>
                <w:rtl w:val="0"/>
              </w:rPr>
              <w:t xml:space="preserve">1) tiek novērsta tirgus nepilnība — situācija, kad tirgus nav spējīgs nodrošināt sabiedrības interešu īstenošanu attiecīgajā jomā;</w:t>
            </w:r>
            <w:r w:rsidR="00000000" w:rsidRPr="00000000" w:rsidDel="00000000">
              <w:rPr>
                <w:b w:val="1"/>
                <w:rtl w:val="0"/>
              </w:rPr>
              <w:t xml:space="preserve">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r w:rsidR="00000000" w:rsidRPr="00000000" w:rsidDel="00000000">
              <w:rPr>
                <w:b w:val="1"/>
                <w:rtl w:val="0"/>
              </w:rPr>
              <w:t xml:space="preserve">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darbaspēka izmaksu sloga mazināšana efektīvākai iedzīvotāju iekļaušanai darba tirgū un uzņēmējdarbības vides konkurētspējas veicināšanai, tai skaitā, pārskatot minimālo valsts sociālās apdrošināšanas obligāto iemaksu sistēmu attiecībā uz nepilnā slodzē strādājošiem, personu ar invaliditāti nodarbinātības izmaksu sloga mazināšana, vecāku pabalstu sistēmas pārskatīšana attiecībā uz pabalsta apmēru un tā apvienošanu ar darbu, darbnespējas lapu izsniegšanas un pārskatīšanas nosacījumu izvērtēšana." </w:t>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aicinām pārskatīt darbnespējas lapu apmaksu, samazinot darba devēja apmaksas dienu skaitu, kā arī darba samaksas pārskatīšana par virsstundām, darbu brīvdienās,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22.11.2023.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22.11.2023.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