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Sociālās ekonomikas plāns 2026.–2029.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teikumu “Ņemot vērā Finanšu ministrijas iebildumus, jauni nodokļu stimuli sociālās ekonomikas dalībniekiem un to finansētājiem netiek plānoti”, vai to aizstāt ar sekojošu skaidrojumu: “Ņemot vērā minēto, un to, ka arī tās kapitālsabiedrības, kuras saņēmušas sociālā uzņēmuma statusu, turpmāk būs tiesīgas daļu peļņas sadalīt dividendēs, šobrīd jauni nodokļu stimuli sociālajiem uzņēmumiem netiek plānoti.”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Krīpere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sociāli atbildīgs iepirkums tiktu veicināts jēgpilni, aicinām precizēt šī plāna 3.3.uzdevumu ar uzsvaru uz iepirkuma priekšmetiem, kurus ir iespējams realizēt sociāli atbildīgā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rezultāts:Paredzēta iespēja publiskajos iepirkumos, kur pēc būtības attiecināms, noteikt priekšrocības darba integrācijas sociālajiem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rādītājs:Veikts sociālās ekonomikas dalībnieku piedāvājuma apkopojums un sociālās ekonomikas dalībnieki iesaistīti publiskajos iepirkumos, kur atbilstoši iepirkuma priekšmeta būtībai tas iespējams. Publiskajos iepirkumos, kur attiecināms, sistemātiski tiek paredzēti priviliģētie līgumi ar sociālajiem uzņēmumiem.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Jaunozola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4.1.apakšsadaļas 1.tabulā norādīto kopējo sociālās ekonomikas subjektu (turpmāk – subjekti) skaitu, jo, sasummējot tabulā norādīto subjektu skaitu pa veidiem, veidojas  30 772 subjekti, nevis 29 159, attiecīgi precizējot aprēķinātā procenta apmēru no kopējā Uzņēmumu reģistrā reģistrēto ekonomisko subjektu (uzņēmumi, NVO) skaita (210 000 subjekti).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par Finanšu ministrijas iebildumu papildināt plāna projektu ar tabulu par ietekmi uz valsts budžetu sniegto informāciju, ka plāna projektā minētās aktivitātes tiks īstenotas Eiropas Sociālā fonda Plus pasākuma “Atbalsts sociālajai uzņēmējdarbībai” ietvaros, lūdzam plāna projekta 6.sadaļā norādīt, kuram pasākumam kā finansēšanas avots tiek noteikts Eiropas Sociālā fonda Plus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pārformulēt plāna projekta 6. sadaļas “Sociālās ekonomikas plāns </w:t>
            </w:r>
            <w:r w:rsidR="00000000" w:rsidRPr="00000000" w:rsidDel="00000000">
              <w:rPr>
                <w:b w:val="1"/>
                <w:rtl w:val="0"/>
              </w:rPr>
              <w:t xml:space="preserve">2026.–2029.gadam</w:t>
            </w:r>
            <w:r w:rsidR="00000000" w:rsidRPr="00000000" w:rsidDel="00000000">
              <w:rPr>
                <w:rtl w:val="0"/>
              </w:rPr>
              <w:t xml:space="preserve">” tabulas “3. sistēmiskais rīcības virziens: Sociālo ekonomiku veicinošo sistēmu attīstība” 3.2. pasākuma rezultatīvo rādītāju “2028.–2034. gada ES fondu perioda plānošanas dokumentos iestrādāts piedāvājums sociālās ekonomikas vajadzībām grantu, aizdevumu, garantiju un ieguldījumu kapitālā veidā.”, ņemot vērā, ka </w:t>
            </w:r>
            <w:r w:rsidR="00000000" w:rsidRPr="00000000" w:rsidDel="00000000">
              <w:rPr>
                <w:b w:val="1"/>
                <w:rtl w:val="0"/>
              </w:rPr>
              <w:t xml:space="preserve">2028.–2034.</w:t>
            </w:r>
            <w:r w:rsidR="00000000" w:rsidRPr="00000000" w:rsidDel="00000000">
              <w:rPr>
                <w:rtl w:val="0"/>
              </w:rPr>
              <w:t xml:space="preserve"> gada ES fondu perioda plānošanas dokumenti vēl nav izstrādāti un tajos atbalstāmie pasākumi vēl nav apstiprināti, attiecīgi nevar gūt pārliecību par norādītā rezultatīvā rādītāja sasniegšanas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Drāzniece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norādīt plāna projekta 6.sadaļā “Sociālās ekonomikas plāna 2026.–2029.gadam rīcības virzieni un pasākumi” konkrētas līdzatbildīgās institūcijas visos plāna projekta pasākumos, tādējādi izvairoties no vispārinājuma kā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Drāzniece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11.12.2025.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11.12.2025.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Atzinumi_25-TA-2099.docx</dc:title>
</cp:coreProperties>
</file>

<file path=docProps/custom.xml><?xml version="1.0" encoding="utf-8"?>
<Properties xmlns="http://schemas.openxmlformats.org/officeDocument/2006/custom-properties" xmlns:vt="http://schemas.openxmlformats.org/officeDocument/2006/docPropsVTypes"/>
</file>