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atlases un līguma un vienošanās slēgšanas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prasību, ka Finanšu instrumentu īstenotājs nodrošina, ka tiek ievēroti Finanšu Regulas 2024/2509 138. pantā un 139.pantā noteiktie izslēgšanas kritēriji gan attiecībā uz līdzdalības, gan uz īpašo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nosacījumu, ka procentus un citus ieņēmumus, kas saistāmi ar atbalstu, kurš no fondiem izmaksāts finanšu instrumentiem, tostarp pārvaldības maksu maksājumiem un atlīdzībai par pārvaldības izmaksām, kas radušās struktūrām, kuras īsteno finanšu instrumentu saskaņā izmanto tādam pašam mērķim vai mērķiem kā sākotnējo atbalstu no fondiem vai nu tajā pašā finanšu instrumentā, vai – pēc finanšu instrumenta slēgšanas – citos finanšu instrumentos vai citos atbalsta veidos turpmākām investīcijām galasaņēmējos līdz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programmā plānoto, t.sk. noteikumu projekta 10.punktā minēto, atbalstu piešķir akciju sabiedrība “Attīstības finanšu institūcija Altum” kā aizdevuma ar kapitāla atlaidi veidā, ja nav iesaistīts cits finansētājs, un garantijas ar kapitāla atlaidi veidā, ja projektu finansē cits finansētājs, lūdzam precizēt noteikumu projekta 2.2. un 2.5.punktos minētās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pasākumu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lai nodrošinātu atbilstību  Attīstības finanšu institūcijas likuma 12.panta ceturtajā daļā noteiktajam, paredzot atmaksātā publiskā finansējuma apmēru. Gadījumā, ja nav iespējams noteikt konkrētu atmaksu summu, lūdzam noteikt līdz kādai summai ir iespējams izmantot atmaksas,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kredītlīnijas veidā vai piesaistīt finansējumu tirgū, tai skaitā aizņemoties finansējumu no starptautiskajām finanšu institūcijām. Valsts aizdevumam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21. decembra noteikumiem Nr. 888 “Kārtība, kādā ministrijas un citas centrālās valsts iestādes iekļauj gadskārtējā valsts budžeta likumprojektā valsts aizdevumu pieprasījumus, un valsts aizdevumu izsniegšanas un apkalpošanas kārtība” 52. punkta nosacījumiem papildus norādīt valsts aizdevuma izsniegšanas nosacījumus - valsts aizdevuma apmēru un valsts aizdevuma atmaksas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Bobrovska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1. panta 4. punkta "c" apakšpunktā nosacījumus un pasākumā plānoto, šobrīd Komisijas regulas Nr. 651/2014 1. panta 4. punkta "c" apakšpunktā minētie izņēmumi vairs nav piemērojami. Attiecīgi lūdzam svītrot noteikumu projekta 19.4.1.apakšpunktā atsauci uz Komisijas regulas Nr. 651/2014 1. panta 4. punkta "c" apakšpunktā minēto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komersants ir de minimis atbalsta saņēmējs un tam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ietvaros ar </w:t>
            </w:r>
            <w:r w:rsidR="00000000" w:rsidRPr="00000000" w:rsidDel="00000000">
              <w:rPr>
                <w:i w:val="1"/>
                <w:rtl w:val="0"/>
              </w:rPr>
              <w:t xml:space="preserve">de minimis</w:t>
            </w:r>
            <w:r w:rsidR="00000000" w:rsidRPr="00000000" w:rsidDel="00000000">
              <w:rPr>
                <w:rtl w:val="0"/>
              </w:rPr>
              <w:t xml:space="preserve"> ir paredzēts atbalsts arī aizdevumu veidā, aicinām papildināt noteikumu punktu ar atsauci uz Komisijas regulas 2023/2831 4. panta 3. punkta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Kuzmins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strukturēt tā, lai ir noteikts, kuru atbalsta veidu ar kuru regulu piešķir. Šobrīd nav visā noteikumu projektā noteikts, ar kādu regulējumu sniedz katras no izmaksām, piemēram, t.sk. noteikumu projekta 30.punkts, kā arī noteikumu projekta VI sadaļā ir iekļauti Komisijas regulas Nr.2023/2831 nosacījumi, un nav noteikts, vai šim atbalsta veidam ir piemērojama arī Komisijas regula Nr. 651/2014. Attiecīgi lūdzam pārskatīt un precizēt noteikumu projektu. Vienlaikus, lai atbalsta pretendentam būtu skaidra atbalsta piešķiršanas procedūra, lūdzam papildināt anotāciju ar skaidrojumu, kā notiks izvēle, kuru no regulām piemērot konkrētā gadījumā un konkrētām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23.punktā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gadījumos, kad atbalsts tiek piešķirts saskaņā ar Komisijas regulas Nr. 651/2014 38.a pantu, noteikumu projektu papildināt ar nosacījumiem, kas izriet no Komisijas regulas Nr. 651/2014 38.a panta 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attiecināmās izmaksas ir kopējās 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651/2014 38.a panta 5. punktu attiecināmās izmaksas ir kopējās ieguldījumu izmaksas. Izmaksas, kas nav tieši saistītas ar augstāka energoefektivitātes līmeņa sasniegšanu ēkā, nav attiecināmās izmaksas. Lai nodrošinātu visu regulā minētā nosacījuma ievērošanu, lūdzam papildināt noteikumu projekta 25.1.apakšpunktu ar atsauci uz Komisijas regulas Nr. 651/2014 38.a panta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atbalstu nepiešķir ieguldījumiem, kas norādīti Komisijas regulas Nr. 651/2014 38.a panta 2. un 4. punktā, kā arī ņem vērā atbalsta sniegšanas ierobežojumus, kas noteikti Komisijas regulas Nr. 651/2014 38.a panta 10.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pasākumā plānotā secināms, ka atbalstu nav paredzēts piešķirt ieguldījumiem, kas tiek veikti, lai panāktu atbilstību Eiropas Savienības standartiem. Attiecīgi lūdzam noteikumu projekta 25.2.apakšpunktu papildināt ar atsauci uz Komisijas regulas Nr. 651/2014 38.a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Pasākumu ietvaros energoefektivitātes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 28., 31.punktā noteikto, ka vismaz 80 procenti no saražotās enerģijas tiek izmantoti komersanta pašpatēriņam gada griezumā attiecīgajā sistēmas pieslēgumā vai visos komersanta objektos kopā, ja komersants ir neto norēķinu sistēmas dalībnieks, un papildus ievēro to, ka tās izmanto tādām papildu ieguldījumu izmaksām, kas nepieciešamas, lai sasniegtu augstāku energoefektivitātes līmeni, un ko nosaka, salīdzinot ieguldījuma izmaksas ar izmaksām teorētiskajā scenārijā, kas rastos, ja atbalsts netiktu sniegts, lūdzam pārskatīt noteikumu projektu, t.sk. no 26. līdz 33.punktam, ņemot vērā, ka komersanta saražotās enerģijas izmantošanai pašpatēriņam, lai sasniegtu augstāku energoefektivitātes līmeni, netiek piemērots Komisijas regulas Nr. 651/2014 41. pants, bet tādas izmaksas ir attiecināmas ar Komisijas regulas Nr. 651/2014 38. pantu kā ieguldījumu sastāvdaļa. Papildus lūdzam pārskatīt, piemēram, noteikumu projekta 26.4.apakšpunktā minētās izmaksas, jo pirmšķietami secināms, ka daļa pasākuma mērķim nav atbilstošas.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26.punktā noteiktās izmaksas finansē saskaņā ar Komisijas regulas Nr. 651/2014 38. pantu, papildus ievēro to, ka tās izmanto tādām papildu ieguldījumu izmaksām, kas nepieciešamas, lai sasniegtu augstāku energoefektivitātes līmeni, un ko nosaka, salīdzinot ieguldījuma izmaksas ar izmaksām teorētiskajā scenārijā, kas rastos, ja atbalsts netiktu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ietver Komisijas regulas Nr. 651/2014 38. panta 2., 2.a, 2.b punktā ietvertos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Papildus šo noteikumu 23., 26. un 30. punktā noteiktajām attiecināmajām izmaksām attiecināmas ir arī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651/2014 38. un 38.a pantu attiecināmas noteikumu projekta 35.punktā minētās izmaksas ir tikai tad, ja tās veido ieguldījumu pamatlīdzekļu vērtību. Attiecīgi lūdzam papildināt ar šo nosacījumu noteikumu projekta 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normu, kas nosaka, ka de minimis atbalsta piešķiršana un uzskaite tiek veikta saskaņā ar normatīvajiem aktiem par de minimis atbalsta uzskaites un piešķiršanas kārtību. Papildus lūdzam papildināt noteikumu projektu ar normu, kas nosaka atbalsta saņēmēja pienākumu pirms lēmuma pieņemšanas atbalsta sniedzējam iesniegt de minimis atbalsta uzskaites sistēmā izveidotās veidlapas izdruku vai norādīt sistēmā izveidotās un apstiprinātās pretendenta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normu, kas nosaka datumu, līdz kuram var pieņemt lēmumu par atbalsta piešķiršanu, un tas nepārsniedz Komisijas Regulas Nr.651/2014 un de minimis regulas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normu kas paredz, ka atbalsts saskaņā ar Komisijas regulu Nr.651/2014 nepārsniedz paziņošanas robežvērtības, kas noteiktas Komisijas regulu Nr.651/2014 4.panta 1. punkta attiecīgājā apakšpunktā minētās paziņošanas robežvērtības nosacījumu izpildes ievērošanu atbalsta pretendentam, tai skaitā saistīto uzņēmumu grupas līmenī, katra projekta ietvaros, par kuru noslēgts atbalsta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dokumentu glabāšanas nosacījumiem attiecībā uz atbalsta sniedzēju - Altum, t.sk. </w:t>
            </w:r>
            <w:r w:rsidR="00000000" w:rsidRPr="00000000" w:rsidDel="00000000">
              <w:rPr>
                <w:i w:val="1"/>
                <w:rtl w:val="0"/>
              </w:rPr>
              <w:t xml:space="preserve">de minimis</w:t>
            </w:r>
            <w:r w:rsidR="00000000" w:rsidRPr="00000000" w:rsidDel="00000000">
              <w:rPr>
                <w:rtl w:val="0"/>
              </w:rPr>
              <w:t xml:space="preserve"> atbalsta piešķiršanas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garantijai subsīdijas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skaidrus nosacījumus subsīdijas ekvivalenta aprēķinam. Proti, sabiedrības "Altum" garantijai un kapitāla atlaidei subsīdijas ekvivalentu aprēķina, summējot kapitāla atlaides un garantijas subsīdijas ekvivalenta daļas un kapitāla atlaidei subsīdijas ekvivalents ir vienāds ar komersantam piešķirto kapitāla atlaides apmēru. Savukārt, piemēram, garantijai subsīdijas ekvivalentu aprēķina kā starpību starp atbilstošās kvalitātes klases gada drošās zonas prēmijas likmi (pielikums) un piemēro gada prēmijas likmi naudas izteiksmē. Ja garantijas ilgums pārsniedz gadu, starpība starp likmēm tiek diskontēta, izmantojot atsauces likmi, kas ir aprēķināma saskaņā ar Eiropas Komisijas konkrētajam periodam noteikto bāzes likmi (bāzes un risku likmes publicētas Eiropas Komisijas konkurences ģenerāldirektorāta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73.2.1. sīkajam (mikro), mazajam un vidējam saimnieciskās darbības veicējam aprēķina kā starpību starp atbilstošās kredīta kvalitātes klases gada drošās zonas prēmijas likmi (pielikums) un piemēroto gada prēmijas likmi naudas izteiksmē vai piemērojot Komisijas regulas Nr. 2023/2831 4. panta 6. punkta "b" apakšpunkta nosacījumus. Ja garantijas ilgums pārsniedz gadu, starpība starp likmēm tiek diskontēta, izmantojot atsauces likmi, kas aprēķināma saskaņā ar Eiropas Komisijas Latvijai apstiprināto atsauces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73.2.1.apakšpunkta pēdējo teikumu, ņemot vērā, ka tas nav attiecināms uz Latviju. Vienlaikus, ja plānots attiecībā uz de minimis atbalstu noteikt arī subsīdijas ekvivalenta aprēķinu atbilstoši Komisijas regulas Nr. 2023/2831 4. panta 6. punkta "b" apakšpunkta nosacījumiem, lūdzam precizēt noteikumu projektu, ņemot vērā, ka nav skaidrs, kādēļ noteikumu projektā ir iekļauts arī 50.punkts, jo tas dublē 73.punkta normas, kā arī nav nepieciešamība izdalīt Komisijas regulas Nr. 2023/2831 4. panta 6. punkta "b" apakšpunkta nosacījumus atbilstoši uzņēmuma lielumam.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Šo noteikumu ietvaros piešķirto finansējumu nedrīkst apvienot ar citu valsts atbalstu par vienām un tām pašām attiecināmajām izmaksām, ja izmaksas tiek finansētas no Eiropas Savienības fondu saņemtā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pasākuma ietvaros atbalsts tiek piešķirts arī kā de minimis un tam kumulācija ir pieļaujama (noteikumu projekta 74.punkts), lūdzam precizēt noteikumu 75.punktu tā, lai tas nav pretrunā ar noteikumu projekta 74.punktu.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aizdevuma pieteikums atbilst Komisijas regulas Nr. 651/2014 6. panta 2. punktā ietvertajām prasībām par pieteikumā iekļaujamo informāciju un ir iesniegts pirms darbu sākšanas projektā, saskaņā ar Komisijas regulas Nr. 651/2014 2. panta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plānota arī sabiedrības "Altum" garantija ar kapitāla atlaidi, ja projektu finansē cits finansētājs (noteikumu projekta 10.2.apakšpunkts), lūdzam precizēt noteikumu projekta 76.1.apakšpunktā noteikto, atbalsta stimulējošās ietekmes nosacījumu attiecinot arī uz šo atbalsta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Ekonomikas ministrija 20 darbdienu laikā pēc šī noteikumu projekta spēkā stāšanās nosūtīs Eiropas Komisijai kopsavilkuma informāciju atbilstoši Komisijas regulas Nr.651/2014 11. pantā noteiktajam, izmantojot Eiropas Komisijas pārziņā esošo elektronisko sistēmu SANI2.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15.punkta redakciju, ņemot vērā, ka no esošās redakcijas nav saprotams kādās konkrēti valsts informācijas sistēmās, datubāzēs un reģistros akciju sabiedrība "Attīstības finanšu institūcija Altum" (turpmāk - sabiedrība "Altum") plāno pieprasīt informāciju, kāds ir plānotais apstrādājamo datu apjoms, un vai iestādes, kuru atbildībā un pārraudzībā ir minētās sistēmas, datubāzes un reģistri ir par to informētas, piemēram, saskaņojot šo noteikumu projektu TAP portālā. Vienlaikus lūdzam papildināt anotāciju ar skaidrojumu par informācijas pieprasīšanu, tostarp aizpildot arī anotācijas 8.1.13.apakšsadaļu, kā arī saskaņot noteikumu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a), b), c) un d) apakšpunktā noteiktajās nozarēs, ja atbalstu piešķir kā de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projektu 17.6 punktu, to izsakot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2023/2831 1. panta </w:t>
            </w:r>
            <w:r w:rsidR="00000000" w:rsidRPr="00000000" w:rsidDel="00000000">
              <w:rPr>
                <w:b w:val="1"/>
                <w:rtl w:val="0"/>
              </w:rPr>
              <w:t xml:space="preserve">1. punkta</w:t>
            </w:r>
            <w:r w:rsidR="00000000" w:rsidRPr="00000000" w:rsidDel="00000000">
              <w:rPr>
                <w:rtl w:val="0"/>
              </w:rPr>
              <w:t xml:space="preserve"> a), b), c) un d) apakšpunktā noteiktajās nozarēs, ja atbalstu piešķir kā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Kuzmins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 par Komisijas regulas Nr. 651/2014 2. panta 18. punkta nosacījumu vērtēšanu uzņēmuma grupas līmenī ir iekļauta jau pie noteikumu projekta 16.4.1. apakšpunkta, lūdzam no noteikumu projekta 16.4.2. apakšpunkta svītrot atsauci uz Komisijas regulas Nr. 651/2014 2. panta 18. punktu. Savukārt no noteikumu projekta 16.4.1. apakšpunkta lūdzam svītrot atsauci uz Komisijas regulas Nr. 651/2014 1. panta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darbībām, kas noteiktas Komisijas regulas 2023/2831 1. pantā, ja atbalstu piešķir kā </w:t>
            </w:r>
            <w:r w:rsidR="00000000" w:rsidRPr="00000000" w:rsidDel="00000000">
              <w:rPr>
                <w:i w:val="1"/>
                <w:rtl w:val="0"/>
              </w:rPr>
              <w:t xml:space="preserve">de minimis </w:t>
            </w:r>
            <w:r w:rsidR="00000000" w:rsidRPr="00000000" w:rsidDel="00000000">
              <w:rPr>
                <w:rtl w:val="0"/>
              </w:rPr>
              <w:t xml:space="preserve">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atbalstu nepiešķir Komisijas regulas Nr. 2023/2831 1. panta 1. punkta  e) un f) apakšpunktā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darbībām, kuras uzskatāmas par faktiski pabeigtām vai pilnībā īstenotām, pirms ir iesniegts pieteikums atbalsta programmas finansējuma saņemšanai,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22.5. apakšpunktu. Vēršam uzmanību, ka attiecībā uz finanšu instrumentu īstenošanu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nosaka, ka </w:t>
            </w:r>
            <w:r w:rsidR="00000000" w:rsidRPr="00000000" w:rsidDel="00000000">
              <w:rPr>
                <w:i w:val="1"/>
                <w:rtl w:val="0"/>
              </w:rPr>
              <w:t xml:space="preserve">finanšu instrumenti sniedz atbalstu galasaņēmējiem tikai par tādām investīcijām gan materiālos, gan nemateriālos aktīvos, kā arī apgrozāmo kapitālu, kuras, kā sagaidāms, būs finansiāli dzīvotspējīgas, un kurām nav atrasts pietiekams finansējums no tirgus avotiem. Šāds atbalsts atbilst piemērojamajiem Savienības valsts atbalsta noteikumiem. Šādu atbalstu sniedz tikai par tiem investīciju elementiem, kas </w:t>
            </w:r>
            <w:r w:rsidR="00000000" w:rsidRPr="00000000" w:rsidDel="00000000">
              <w:rPr>
                <w:i w:val="1"/>
                <w:u w:val="single"/>
                <w:rtl w:val="0"/>
              </w:rPr>
              <w:t xml:space="preserve">investīciju lēmuma pieņemšanas dienā</w:t>
            </w:r>
            <w:r w:rsidR="00000000" w:rsidRPr="00000000" w:rsidDel="00000000">
              <w:rPr>
                <w:i w:val="1"/>
                <w:rtl w:val="0"/>
              </w:rPr>
              <w:t xml:space="preserve"> nav fiziski pabeigti vai pilnībā īstenoti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par izdevumu attiecināmības sākuma datumu un izdevumu attiecināmības beigu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Pasākumu ietvaros īstenojamo projektu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nosacījumu, kas paredz neatbalstīt tādas darbības projektā, kas ir bijušas daļa no projekta, kuras ir tikušas pārceltas vai tajās veiktas būtiskas izmaiņas - ražošanas darbības izbeigtas vai pārvietotas ārpus teritorijas, kurā tās ir saņēmušas atbalstu, lai nodrošinātu atbilstību Eiropas Parlamenta un Padomes Regulas (ES)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1.punktā un 66.pantā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Atbalsta projekta ietvaros ievēro principus "energoefektivitāte pirmajā vietā" un "klimatdrošināšana", kā arī principu "nenodarīt būtisku kaitējumu", kas atbilst Eiropas Parlamenta un Padomes regulas Nr. 2020/852 ,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noteikumu projektu un/vai tā anotāciju ar informāciju par nosacījumiem projekta iesniedzējiem, kas izriet no 2.1.1.2.pasākuma horizontālā principa "Nenodarīt būtisku kaitējumu" novērtējuma,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projekta iesniedzējiem var paredzēt nosacījumu ievērot zaļā publiskā iepirkuma principu, veicot iepirkuma procedūru būvniecības darbiem, par to attiecīgi tiks piešķirti papildus punkti projekta iesnieguma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priekšnosacījumus piemērot zaļo publisko iepirkumu renovācijas materiālu izvēlē, tiks nodrošināta aprites ekonomikas principu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komersantiem tiks izteikts aicinājums viņu ražošanas tehnoloģijās nodrošināt atkritumu rašanās novēršanas programmu, kā arī maksimāli ievērot materiālu aprites nosacījumus savā ražošanas tehnoloģijā.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 pieņem lēmumu par aizdevuma piešķiršanu pamatojoties uz šajos noteikumos noteiktiem nosacījumiem, kā arī sabiedrības "Altum" kā finansētāja riska politikai. Sabiedrības "Altum" lēmums par aizdevuma piešķiršanu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49.2., 58.2. apakšpunktā un 62.punktā paredzēts, ka sabiedrības "Altum" lēmums par atbalsta piešķiršanu nav uzskatāms par lēmumu, kas ir pieņemts publisko tiesību jomā, izsekojamības un noteiktības nolūkā aicinām anotācijā iekļaut informāciju par sabiedrības "Altum" lēmuma apstrīdēšanas kārtību, tādējādi informējot gala saņēmējus par tālākām sabiedrības "Altum" lēmuma apstrīdēšanas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plānotais de minimis atbalsts kopā ar iepriekšējo triju gadu periodā, skaitot no de minimis atbalsta piešķiršanas dienas, piešķirto de minimis atbalstu nepārsniedz Komisijas regulas 2023/2831 3. panta 2. punktā minēto limitu, ievērojot Komisijas regulas 2023/2831 3. panta 8. punkta nosacījumus uzņēmumu apvienošanās vai iegādes gadījumā un Komisijas regulas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72.1.apakšpunkta redakciju aiz vārdiem: "piešķirto de minimis atbalstu" papildinot ar vārdiem: "viena vienota uzņēmuma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2023/2831 5. pantā noteikto kumulācijas prasību izpildi, lūdzam noteikumu projekta 67.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revīzijas iestādei un Eiropas Savienības Atveseļošanas fonda un noturības mehānisma plāna koordinatoram, Centrālajai finanšu un līgumu aģentūrai vai Eiropas Komisijai un Eiropas Komisijas un Latvijas Republikas Atveseļošanas un noturības mehānisma finansēšanas nolīgumā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uz finanšu instrumentu īstenošanu Eiropas Savienības fondu, nevis Latvijas Republikas Atveseļošanas un noturības mehānisma plāna, ietvaros, lūdzam atbilstoši precizēt noteikumu projekta 79.1. apakšpunktu. Vienlaikus, lai nodrošinātu viennozīmīgu tiesību normu piemērošanu, aicinām noteikumu projekta  79.1.apakšpunktā papildināt, ka informācijas uzskaiti par sniegto finansējumu iesniedz Centrālajai finanšu un līgumu aģentūrai </w:t>
            </w:r>
            <w:r w:rsidR="00000000" w:rsidRPr="00000000" w:rsidDel="00000000">
              <w:rPr>
                <w:u w:val="single"/>
                <w:rtl w:val="0"/>
              </w:rPr>
              <w:t xml:space="preserve">kā sadarbības iestādei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w:t>
            </w:r>
            <w:r w:rsidR="00000000" w:rsidRPr="00000000" w:rsidDel="00000000">
              <w:rPr>
                <w:u w:val="single"/>
                <w:rtl w:val="0"/>
              </w:rPr>
              <w:t xml:space="preserve">Eiropas Savienības fondu</w:t>
            </w:r>
            <w:r w:rsidR="00000000" w:rsidRPr="00000000" w:rsidDel="00000000">
              <w:rPr>
                <w:rtl w:val="0"/>
              </w:rPr>
              <w:t xml:space="preserve"> revīzijas iestādei un </w:t>
            </w:r>
            <w:r w:rsidR="00000000" w:rsidRPr="00000000" w:rsidDel="00000000">
              <w:rPr>
                <w:u w:val="single"/>
                <w:rtl w:val="0"/>
              </w:rPr>
              <w:t xml:space="preserve">vadošajai iestādei</w:t>
            </w:r>
            <w:r w:rsidR="00000000" w:rsidRPr="00000000" w:rsidDel="00000000">
              <w:rPr>
                <w:rtl w:val="0"/>
              </w:rPr>
              <w:t xml:space="preserve">, Centrālajai finanšu un līgumu aģentūrai </w:t>
            </w:r>
            <w:r w:rsidR="00000000" w:rsidRPr="00000000" w:rsidDel="00000000">
              <w:rPr>
                <w:u w:val="single"/>
                <w:rtl w:val="0"/>
              </w:rPr>
              <w:t xml:space="preserve">kā sadarbības iestādei</w:t>
            </w:r>
            <w:r w:rsidR="00000000" w:rsidRPr="00000000" w:rsidDel="00000000">
              <w:rPr>
                <w:rtl w:val="0"/>
              </w:rPr>
              <w:t xml:space="preserve"> vai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2.1.1.2.pasākuma kopējo finansējumu pēc finansējuma pārdales 25 miljonu euro apmērā, ņemot vērā, ka pēc plānotajām pārdalēm kopējais 2.1.1.2.pasākuma finansējums ir 13 769 191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programmas virzību, vēršam uzmanību, ka Ekonomikas ministrija paredz finansējuma pārdales un attiecīgi saistošas izmaiņas rādītājos, kas vēl jāskaņo ar Eiropas Komisiju. Tāpat, saistībā ar šīm izmaiņām finansējumā pirms investīciju tālākas virzības ir nepieciešami attiecīgi grozījumi 2023.gada 5.septembra Ministru kabineta noteikumos Nr. 510 "Eiropas Savienības kohēzijas politikas programmas 2021.–2027. gadam finanšu instrumentu kopīgie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sinerģiju un demarkāciju ar citām Ekonomikas ministrijas un Klimata un enerģētikas ministrijas pārziņā esošajām investīcijām, specifiskajiem atbalsta mērķiem/pasākumiem. Tāpat aicinām norādīt informāciju, kā tiks nodrošināta dubultfinansējuma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pasākumu ietekmi uz Padomes ieteikumā par Latvijas 2023.gada valsts reformu programmu ar ko sniedz Padomes atzinumu par Latvijas stabilitātes programmu izteikto attiecībā uz energoefektivitātes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anotācijā norādīto informāciju par teritoriālo sadalījumu, ņemot vērā, ka gala labuma guvēji 6.1.1.4.pasākuma ietvaros var būt komersanti Kurzemes, Latgales, Vidzemes un Zemgales statistiskajos reģionos saskaņā ar 2022. gada 25. novembrī spēkā esošo Statistiski teritoriālo vienību nomenklatūras 3. līmeņa (NUTS 3. līmenis) klasifikāciju, veicot atbilstošus precizējumus arī noteikumu projektā. Vienlaikus lūdzam skaidrot, vai ar atbalstu Rīgai domāta ir Rīgas valstpilsēta vai Rīgas reģions.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vērtējumu pēc satura un būtības par plānoto investīciju pienesumu tautsaimniecībai, lūdzam papildināt anotācijas 2.sadaļu ar investīciju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sniegto informāciju pārcelt uz 6.punktu un punktā “Cita informācija” norādīt ministriju, kura pieprasīs nepieciešamo finansējumu 2.1.1.2. un 6.1.1.4. pasākuma īstenošanai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17.4 apakšpunkts paredz stingrākas prasības nekā Komisijas Regulas 651/2014 1.panta 3.punkts norādītas, aicinām precizēt tabulā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Kuzmins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akciju sabiedrību "Attīstības finanšu institūcija Altum" mēneša laikā sagatavot un iesniegt Ministru kabinetā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3.punktu papildinot, ka Ekonomikas ministrija </w:t>
            </w:r>
            <w:r w:rsidR="00000000" w:rsidRPr="00000000" w:rsidDel="00000000">
              <w:rPr>
                <w:u w:val="single"/>
                <w:rtl w:val="0"/>
              </w:rPr>
              <w:t xml:space="preserve">mēneša laikā pēc Ministru kabineta noteikumu stāšanās spēkā iesniedz</w:t>
            </w:r>
            <w:r w:rsidR="00000000" w:rsidRPr="00000000" w:rsidDel="00000000">
              <w:rPr>
                <w:rtl w:val="0"/>
              </w:rPr>
              <w:t xml:space="preserve"> Ministru kabinetā programmas rādītāju un sagaidāmo zaudējumu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akciju sabiedrību "Attīstības finanšu institūcija Altum" izstrādāt un mēneša laikā pēc Ministru kabineta noteikumu stāšanās spēkā iesniegt Ministru kabinetā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