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janvāra noteikumos Nr. 50 "Vietvārdu informācijas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2012. gada 10. janvāra noteikumos Nr. 50 "Vietvārdu informācijas noteikumi" (Latvijas Vēstnesis, 2012, 20. nr.; 2013, 158. nr.; 2018, 76.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“Grozījumi Ministru kabineta 2012. gada 10. janvāra noteikumos Nr. 50 "Vietvārdu informācijas noteikumi"” 1. un 2. punktu atbilstoši Ministru kabineta 2009. gada 3. februāra noteikumu Nr. 108 “Normatīvo aktu projektu sagatavošanas noteikumi” 151. un 155. punktā ietvertajām juridiskās tehnikas prasībām. Proti, Normatīvo aktu projektu sagatavošanas noteikumu 151. punkts noteic, ka gadījumā, ja ar grozījumiem tiesību normā tiek paredzēts aizstāt vārdu vai vārdu savienojumu ar citu vārdu vai vārdu savienojumu, attiecīgo tiesību normu neizteic jaunā redakcijā, bet gan lieto vārdu “aizstāt”, norādot aizstājamo vārdu vai vārdu savienojumu un vārdu, ar kuru tas aizstājams. Savukārt minēto noteikumu 155. punkts noteic, ka, ja tiesību normā ir svītrojams teikums vai tā daļa, attiecīgo tiesību normu neizteic jaunā redakcijā, bet gan lieto vārdu "svītrot”, norādot svītrojamo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noteikumu projekta 1. un 2. punktu izteikt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16.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w:t>
            </w:r>
            <w:r w:rsidR="00000000" w:rsidRPr="00000000" w:rsidDel="00000000">
              <w:rPr>
                <w:vertAlign w:val="superscript"/>
                <w:rtl w:val="0"/>
              </w:rPr>
              <w:t xml:space="preserve">1</w:t>
            </w:r>
            <w:r w:rsidR="00000000" w:rsidRPr="00000000" w:rsidDel="00000000">
              <w:rPr>
                <w:rtl w:val="0"/>
              </w:rPr>
              <w:t xml:space="preserve">. punktā aizstāt vārdus "lēmuma projektu" ar vārdu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“Grozījumi Ministru kabineta 2012. gada 10. janvāra noteikumos Nr. 50 "Vietvārdu informācijas noteikumi"” 1. un 2. punktā ir precizēts pienākums vietvārdu piešķīrējinstitūcijām iesniegt Valsts valodas centrā pieteikumu atzinuma saņemšanai. Lai arī spēkā esošajā noteikumu redakcijā šāds pienākums pēc būtības jau pastāv, grozījumi maina informācijas sniegšanas formu, kā arī procesa uzsākšanas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617 “Tiesību akta projekta sākotnējās ietekmes izvērtēšanas kārtība” 15. punktu, ja tiesību akta projekts paredz vai maina pienākumus, kuru izpildei nepieciešama informācijas sagatavošana, iesniegšana vai citu procesu nodrošināšana, anotācijā obligāti jāiekļauj administratīvo un atbilstības izmaksu monetārais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anotācijas 7.2. sadaļu, tostarp veicot atbilstošus administratīvo izmaksu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un atbilstības izmaksu monetārā novērtējuma veikšanai aicinām izmantot Vadlīnijās tiesību akta sākotnējās ietekmes novērtēšanai un novērtējuma ziņojuma sagatavošanai ietverto metodiku (22.–25. lpp.),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26-TA-220</w:t>
    </w:r>
    <w:r>
      <w:br/>
    </w:r>
    <w:r w:rsidR="00000000" w:rsidRPr="00000000" w:rsidDel="00000000">
      <w:rPr>
        <w:rtl w:val="0"/>
      </w:rPr>
      <w:t xml:space="preserve">Izdrukāts 09.02.2026.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26-TA-220</w:t>
    </w:r>
    <w:r>
      <w:br/>
    </w:r>
    <w:r w:rsidR="00000000" w:rsidRPr="00000000" w:rsidDel="00000000">
      <w:rPr>
        <w:rtl w:val="0"/>
      </w:rPr>
      <w:t xml:space="preserve">Izdrukāts 09.02.2026.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Atzinumi_26-TA-220.docx</dc:title>
</cp:coreProperties>
</file>

<file path=docProps/custom.xml><?xml version="1.0" encoding="utf-8"?>
<Properties xmlns="http://schemas.openxmlformats.org/officeDocument/2006/custom-properties" xmlns:vt="http://schemas.openxmlformats.org/officeDocument/2006/docPropsVTypes"/>
</file>