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 katrā no RIS3 jomām sadalījumā pa gala labuma guvēju veidiem šādus RIS3 rādītājus,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26.jūnija sanāksmi starp Ekonomikas ministriju, Izglītības un zinātnes ministriju, Centrālo statistikas pārvaldi, Centrālo finanšu un līgumu aģentūru un vadošo iestādi par RIS3 rādītāju saraksta pārskatīšanu, lūdzam pārskatīt un nepieciešamības gadījumā precizēt Ministru kabineta 2023. gada 13. jūlija noteikumu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noteikumi"69.5.apakšpunktu attiecībā uz RIS3 rādītājiem pēc tam, kad starp augstākminētajām pusēm tiek panākta vienošanās par gala sarakstu ar RIS3 rādītājiem. Attiecīgi lūdzam  atbildīgo iestādi informēt vadošo iestādi par RIS3 rādītāju gala sarakstu un to apstiprināšanas datumu.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 katrā no RIS3 jomām sadalījumā pa gala labuma guvēju veidiem šādus RIS3 rādītājus,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vai tā anotācijā skaidri atrunāt, attiecībā uz kādam pasākuma atbalsta sadalām finansējuma saņēmējam ir jāuzkrāj dati par RIS3. Vēršam uzmanību, ka RIS3 rādītāji ir attiecināmi uz tiem specifiskajiem atbalsta mērķiem, pasākumiem vai to atbalsta sadaļām, kur atbalsts ir vai var būt saistīts ar P&amp;A izdevumiem. Piemēram, uz biznesa inkubatoru programmu tas būtu attiecināms, bet uz vispārīgām uzņēmējdarbības atbalsta sadalām kā inovāciju motivācijas programma un dalība ārvalstu izstādē -nē.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"Darbības programma" ar vārdiem un skaitļiem "Eiropas Savienības kohēzijas politikas programma 2021.-2027.gadam" vai abreviatūru "KPP". Papildus vēršam uzmanību, ka termins "Darbības programma" ir attiecināms tikai uz Eiropas Savienības struktūrfondu un Kohēzijas fonda 2014.-2020.gada plānošanas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samazināt anotācijas 1.3.sadaļā norādīto 1.1.2.2. pasākuma “Uzņēmumu digitālo prasmju attīstība” kopējo (9 869 476 EUR) un valsts budžeta (1 480 422 EUR) pārdalāmo finansējumu par 1 EUR, jo tas neatbilst noteikumu projektā ietvertai summai.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veikt 1.2.3.1. pasākuma īstenošanai nepieciešamo finansējuma 11 869 475 euro apmērā pārdali no 1.2.1.1. pasākuma "Atbalsts jaunu produktu attīstībai un internacionalizācijai" un 1.1.2.2. pasākuma “Uzņēmumu digitālo prasmju attīstība” pirms pozitīva Eiropas Komisijas lēmuma par Eiropas Savienības kohēzijas politikas programmas 2021.–2027.gadam grozījumiem saņemšanas.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viennozīmīgi skaidru normu piemērošanu, lūdzam precizēt Ministru kabineta protokollēmuma projekta 3.punktu, norādot subjektu, kuram tiek sniegta atļauja veikt finansējuma pārdali starp pasākumiem, aiz vārda "atļaut" papildinot ar vārdiem "Ekonomikas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atbalsts gala labuma guvējam saimnieciskās darbības veikšanai ir kvalificējams kā komercdarbības atbalsts, tad atbalstu sniedz saskaņā ar Komisijas regulu Nr.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kā arī ņemot vērā šo noteikumu </w:t>
            </w:r>
            <w:r w:rsidR="00000000" w:rsidRPr="00000000" w:rsidDel="00000000">
              <w:rPr>
                <w:rtl w:val="0"/>
              </w:rPr>
              <w:t xml:space="preserve">56.</w:t>
            </w:r>
            <w:r w:rsidR="00000000" w:rsidRPr="00000000" w:rsidDel="00000000">
              <w:rPr>
                <w:rtl w:val="0"/>
              </w:rPr>
              <w:t xml:space="preserve"> punktā norādītās kārtības (metodikas):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ir pieņemti grozījumi Ministru kabineta 2018. gada 21. novembra noteikumos Nr. 715 "Noteikumi par de minimis atbalsta uzskaites un piešķiršanas kārtību un de minimis atbalsta uzskaites veidlapu paraugiem" (turpmāk - MK noteikumi Nr.715), kas stāsies spēkā 01.07.2024. Pēc grozījumu MK noteikumos Nr.715 spēkā stāšanās aicinām lietot atsauci uz to aktuālo  nosaukumu, kas ir "De minimis atbalsta uzskaites un piešķiršanas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27.06.2024.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27.06.2024.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Atzinumi_24-TA-1191.docx</dc:title>
</cp:coreProperties>
</file>

<file path=docProps/custom.xml><?xml version="1.0" encoding="utf-8"?>
<Properties xmlns="http://schemas.openxmlformats.org/officeDocument/2006/custom-properties" xmlns:vt="http://schemas.openxmlformats.org/officeDocument/2006/docPropsVTypes"/>
</file>