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atlasa izglītības iestādes, ar ko kopā īstenot profesionālās mākslas un kultūras norišu aprobēšanu, tai skaitā no attālākiem lauku reģioniem un pierobežas;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35. punktā nav norādīti kritēriji, pēc kuriem sadarbības partneris atlasa izglītības iestādes šo noteikumu 23.2., 23.3., 23.4. un 23.5. apakšpunktā minēto atbalstāmo darbību īstenošanai. Lūdzam precizēt noteikumu projektu, nosakot skaidrus atlases kritērijus, īpaši attiecībā uz izglītības iestāžu izvēli no attālākiem lauku reģioniem un pierobežas.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16.12.2024.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16.12.2024.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Atzinumi_24-TA-3115.docx</dc:title>
</cp:coreProperties>
</file>

<file path=docProps/custom.xml><?xml version="1.0" encoding="utf-8"?>
<Properties xmlns="http://schemas.openxmlformats.org/officeDocument/2006/custom-properties" xmlns:vt="http://schemas.openxmlformats.org/officeDocument/2006/docPropsVTypes"/>
</file>