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18.10. veikt darbības, kuru rezultātā tiek mainīta zemes lietošanas kategorija, izņemot gadījumus, ja ir saņemta Dabas aizsardzības pārvaldes rakstiska atļauja: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noteikumu 18.10.punktu papildināt ar jaunu apakšpunktu, paredzot mainīt zemes lietojuma kategoriju, ja notikusi dabiska apmežošanās vai applūšana. Līdzīgs izņēmums ir noteikts arī citās īpaši aizsargājamās dabas teritorijās.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Dabas lieguma zona aptver ezeru un ezera austrumu krasta joslā esošās mežaudzes. Krasta josla ir dinamiska ekosistēma, kurā ar lielu varbūtību var notikt applūšanas procesi, vai, mainoties mitruma apstākļiem – pārplūstošu klajumu aizaugšana, un attiecīgi var būt nepieciešama zemes kategorijas maiņa atbilstoši situācijai dabā.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18.10.5. dabiski apmežojušās vai dabiski applūdušas zemes lietošanas kategorijas maiņai uz dabā konstatēto zemes lietošanas kategoriju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Lāsma Āboliņa (ZM)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33. Sausos kokus un kritalas šo noteikumu </w:t>
            </w:r>
            <w:r w:rsidR="00000000" w:rsidRPr="00000000" w:rsidDel="00000000">
              <w:rPr>
                <w:rtl w:val="0"/>
              </w:rPr>
              <w:t xml:space="preserve">31.</w:t>
            </w:r>
            <w:r w:rsidR="00000000" w:rsidRPr="00000000" w:rsidDel="00000000">
              <w:rPr>
                <w:rtl w:val="0"/>
              </w:rPr>
              <w:t xml:space="preserve">punktā minētajā apjomā, kā arī nocirstos bīstamos kokus un nocirsto koku celmus atstāj mežaudzē, lai nodrošinātu trūdošo (atmirušo) koksni kā dzīvesvietu meža ekosistēmā svarīgām sugām.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noteikumu 33,punktu, jo visticamāk, mainoties numerācijai noteikumu izstrādes procesā, ir ieviesusies kļūda. 33.punktā ir jābūt atsaucei uz 32.punktu, nevis uz 31.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33. Sausos kokus un kritalas šo noteikumu 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32.</w:t>
            </w:r>
            <w:r w:rsidR="00000000" w:rsidRPr="00000000" w:rsidDel="00000000">
              <w:rPr>
                <w:rtl w:val="0"/>
              </w:rPr>
              <w:t xml:space="preserve">punktā minētajā apjomā, kā arī nocirstos bīstamos kokus un nocirsto koku celmus atstāj mežaudzē, lai nodrošinātu trūdošo (atmirušo) koksni kā dzīvesvietu meža ekosistēmā svarīgām sugām.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Lāsma Āboliņa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22.11.2022.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22.11.2022.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