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noteikumu </w:t>
            </w:r>
            <w:r w:rsidR="00000000" w:rsidRPr="00000000" w:rsidDel="00000000">
              <w:rPr>
                <w:rtl w:val="0"/>
              </w:rPr>
              <w:t xml:space="preserve">38.1.4.</w:t>
            </w:r>
            <w:r w:rsidR="00000000" w:rsidRPr="00000000" w:rsidDel="00000000">
              <w:rPr>
                <w:rtl w:val="0"/>
              </w:rPr>
              <w:t xml:space="preserve">, </w:t>
            </w:r>
            <w:r w:rsidR="00000000" w:rsidRPr="00000000" w:rsidDel="00000000">
              <w:rPr>
                <w:rtl w:val="0"/>
              </w:rPr>
              <w:t xml:space="preserve">38.1.6.</w:t>
            </w:r>
            <w:r w:rsidR="00000000" w:rsidRPr="00000000" w:rsidDel="00000000">
              <w:rPr>
                <w:rtl w:val="0"/>
              </w:rPr>
              <w:t xml:space="preserve">, </w:t>
            </w:r>
            <w:r w:rsidR="00000000" w:rsidRPr="00000000" w:rsidDel="00000000">
              <w:rPr>
                <w:rtl w:val="0"/>
              </w:rPr>
              <w:t xml:space="preserve">38.1.9.</w:t>
            </w:r>
            <w:r w:rsidR="00000000" w:rsidRPr="00000000" w:rsidDel="00000000">
              <w:rPr>
                <w:rtl w:val="0"/>
              </w:rPr>
              <w:t xml:space="preserve"> pakšpunktos minētās izmaksas,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Ekonomikas ministrija ir tikai daļēji ņēmusi vērā priekšlikumu par sadarbības tīkla dalībnieku attiecināmo izmaksu pozīciju papildināšanu. LTRK ieskatā ar ministrijas piedāvāto noteikumu projekta 38.2.4. apakšpunkta redakciju vēl aizvien nav novērsts risks, ka, ņemot vērā Komisijas regulā Nr. 1407/2013 noteikto de minimis atbalsta ierobežojumu, ko dalībvalsts var piešķirt sadarbības tīklam – 200 000 euro  triju fiskālo gadu periodā, sadarbības tīkls nevarēs pilnvērtīgi īstenot plānotās aktivitātes un sniegt tīkla dalībniekiem nepieciešamos pakalpojumus, tādejādi apdraudot arī investīcijas ietvaros sasniedzamo rādītāju izpildi. LTRK atkārtoti norāda, ka 200 000 euro nav pat puse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noteikumu projekta izziņā nav sniegusi nekādu pamatojumu, kādēļ 38.2.4. punktā neminētās atbalstāmo darbību īstenošanas izmaksas, kas radīsies īstenojot aktivitātes konkrētu tīkla dalībnieku darbības atbalstam, piemēram, tirgus pētījumu, stratēģiju izstrādes, mārketinga u.c. izmaksas, nevar tikt attiecinātas uz pašiem tīkla dalībniekiem, bet ir jāuzņemas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LTRK uztur prasību noteikumu projektā paredzēt, ka atbalstāmo darbību īstenošanas izmaksas var tikt attiecinātas gan uz sadarbības tīklu, gan uz tīkla dalībnieku, un aicina izteikt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noteikumu 38.1.3., 38.1.4., 38.1.6., 38.1.5., 38.1.8. un 38.1.9. apakšpunktos minētās izmaksas, ja atbalsts tiek sniegts konkrēta sadarbības tīkla dalībnieka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projekta iesnieguma iesniegšanas izstrādāt iekšējās kontroles sistēmu korupcijas un interešu konflikta riska novēršanai (iekšējo kārtību), ietverot tajā: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aktuālās redakcijas 53.3. apakšpunktā ir noteikts, ka sadarbības tīklam ir pienākums līdz projekta iesnieguma iesniegšanai izstrādāt iekšējās kontroles sistēmu korupcijas un interešu konflikta riska novēršanai (iekšējo kārtību), kas ietver astoņas dažādas procedūras, mehānismus un pasākumu kompleksus ne tikai korupcijas un interešu konflikta risku novēršanai, bet arī ētikas kodeksu, procedūru disciplināratbildības piemērošanai, trauksmes celšanas pasākumus utt. LTRK ieskatā prasība izstrādāt astoņas procedūras paredz projekta mērogam neproporcionālu administratīvo slogu gan projekta pieteikumu iesniedzējiem, gan arī vērtētājiem, kuriem būs jāizvērtē un jāapstiprina 12 projektu iesniedzēju izstrādātās iekšējās kārtības, kas saturiski var būt ļoti dažās. Turklāt, kā izriet no noteikumu projekta izziņas, šādas prasības var tikt ieviestas arī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neadekvātu administratīvo slogu projektu iesniedzējiem un vērtētājiem, LTRK aicina Ekonomikas un Finanšu ministrijas izstrādāt vienotas 53.3. apakšpunktā minētās procedūras valsts līmenī, kuras projektu iesniedzējiem būtu jāievieš.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aicina Ekonomikas un Finanšu ministrijas izvērtēt, vai visu 53.3. apakšpunktā minēto procedūru ieviešana var tikt piemērota projekta iesniedzējiem. Kā izriet no izziņas, ar šādu prasību projekta iesniedzēji pēc Finanšu ministrijas priekšlikuma tiek pielīdzināti publiskas personas institūcijām, kas pēc savas būtības nav pieņemami. LTRK skaidro, ka katrs tiesību subjekts darbojas atbilstoši savu normatīvo aktu prasībām un ne visas prasības, kas attiecas uz publisko personu institūcijām var tikt vienkārši piemērotas arī privāto tiesību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03.08.2023.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03.08.2023.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