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Instrukcija par informatīvu luminiscējošu zīmju “Patvertne” izvietošanas un vizuālā noformējuma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(1.pielikums_Ministrijas un pašvaldības, kurām kompensē izdevumus no LNG)</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rīkojuma 1.pielikumā minētajām  ministrijām (vai to iestādēm)  un pašvaldībām līdz 2024. gada 1. novembrim nodrošināt informatīvu luminiscējošu zīmju “Patvertne” izvietošanu atbilstoši šā  rīkojuma 2.pielikuma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Aizsardzības ministriju no šā rīkojuma projekta 1. pielikumā minēto institūciju saraksta. Ministrijas pārvaldītajos īpašumos netiks izvietotas patvertnes, jo militārie objekti būs pirmie, pret ko tiks vērsti uzbrukumi.  Saskaņā ar 1977. gada 8. jūnija papildu protokola pie 1949. gada 12. augusta Ženēvas konvencijām, kas attiecas uz starptautiska rakstura bruņotu konfliktu upuru aizsardzību (I protokols)  52. panta 2. punktu uzbrukumus drīkst vērst tikai pret militārajiem objektiem. Attiecīgi Aizsardzības ministrijai nav nepieciešami valsts budžeta programmas "Līdzekļi neparedzētiem gadījumiem" finansējums informatīvu luminiscējošu zīmju "Patvertne"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06.09.2024.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06.09.2024.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Atzinumi_24-TA-2126.docx</dc:title>
</cp:coreProperties>
</file>

<file path=docProps/custom.xml><?xml version="1.0" encoding="utf-8"?>
<Properties xmlns="http://schemas.openxmlformats.org/officeDocument/2006/custom-properties" xmlns:vt="http://schemas.openxmlformats.org/officeDocument/2006/docPropsVTypes"/>
</file>